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FCD2B" w14:textId="77777777" w:rsidR="00A92A1B" w:rsidRPr="002E0974" w:rsidRDefault="003F3279" w:rsidP="002E0974">
      <w:pPr>
        <w:jc w:val="center"/>
        <w:textAlignment w:val="baseline"/>
        <w:rPr>
          <w:rFonts w:eastAsia="Times New Roman"/>
          <w:b/>
          <w:color w:val="000000"/>
          <w:sz w:val="24"/>
          <w:szCs w:val="24"/>
        </w:rPr>
      </w:pPr>
      <w:r w:rsidRPr="002E0974">
        <w:rPr>
          <w:rFonts w:eastAsia="Times New Roman"/>
          <w:b/>
          <w:color w:val="000000"/>
          <w:sz w:val="24"/>
          <w:szCs w:val="24"/>
        </w:rPr>
        <w:t>UNITED STATES OF AMERICA</w:t>
      </w:r>
    </w:p>
    <w:p w14:paraId="584ED6F7" w14:textId="77777777" w:rsidR="00A92A1B" w:rsidRPr="002E0974" w:rsidRDefault="003F3279" w:rsidP="002E0974">
      <w:pPr>
        <w:jc w:val="center"/>
        <w:textAlignment w:val="baseline"/>
        <w:rPr>
          <w:rFonts w:eastAsia="Times New Roman"/>
          <w:b/>
          <w:color w:val="000000"/>
          <w:sz w:val="24"/>
          <w:szCs w:val="24"/>
        </w:rPr>
      </w:pPr>
      <w:r w:rsidRPr="002E0974">
        <w:rPr>
          <w:rFonts w:eastAsia="Times New Roman"/>
          <w:b/>
          <w:color w:val="000000"/>
          <w:sz w:val="24"/>
          <w:szCs w:val="24"/>
        </w:rPr>
        <w:t>BEFORE THE</w:t>
      </w:r>
    </w:p>
    <w:p w14:paraId="6399B498" w14:textId="77777777" w:rsidR="00A92A1B" w:rsidRPr="002E0974" w:rsidRDefault="003F3279" w:rsidP="002E0974">
      <w:pPr>
        <w:jc w:val="center"/>
        <w:textAlignment w:val="baseline"/>
        <w:rPr>
          <w:rFonts w:eastAsia="Times New Roman"/>
          <w:b/>
          <w:color w:val="000000"/>
          <w:sz w:val="24"/>
          <w:szCs w:val="24"/>
        </w:rPr>
      </w:pPr>
      <w:r w:rsidRPr="002E0974">
        <w:rPr>
          <w:rFonts w:eastAsia="Times New Roman"/>
          <w:b/>
          <w:color w:val="000000"/>
          <w:sz w:val="24"/>
          <w:szCs w:val="24"/>
        </w:rPr>
        <w:t>FEDERAL ENERGY REGULATORY COMMISSION</w:t>
      </w:r>
    </w:p>
    <w:p w14:paraId="1AB21685" w14:textId="77777777" w:rsidR="00C578E6" w:rsidRPr="002E0974" w:rsidRDefault="00C578E6" w:rsidP="002E0974">
      <w:pPr>
        <w:tabs>
          <w:tab w:val="left" w:pos="4608"/>
          <w:tab w:val="left" w:pos="5832"/>
        </w:tabs>
        <w:textAlignment w:val="baseline"/>
        <w:rPr>
          <w:rFonts w:eastAsia="Times New Roman"/>
          <w:color w:val="000000"/>
          <w:sz w:val="24"/>
          <w:szCs w:val="24"/>
        </w:rPr>
      </w:pPr>
    </w:p>
    <w:p w14:paraId="3D16A3FD" w14:textId="3DBE8ACE" w:rsidR="00A92A1B" w:rsidRPr="002E0974" w:rsidRDefault="00EC28CE" w:rsidP="002E0974">
      <w:pPr>
        <w:tabs>
          <w:tab w:val="left" w:pos="4608"/>
          <w:tab w:val="left" w:pos="5832"/>
        </w:tabs>
        <w:textAlignment w:val="baseline"/>
        <w:rPr>
          <w:rFonts w:eastAsia="Times New Roman"/>
          <w:color w:val="000000"/>
          <w:spacing w:val="-1"/>
          <w:sz w:val="24"/>
          <w:szCs w:val="24"/>
        </w:rPr>
      </w:pPr>
      <w:r>
        <w:rPr>
          <w:rFonts w:eastAsia="Times New Roman"/>
          <w:color w:val="000000"/>
          <w:spacing w:val="-1"/>
          <w:sz w:val="24"/>
          <w:szCs w:val="24"/>
        </w:rPr>
        <w:t>Angelo Storage</w:t>
      </w:r>
      <w:r w:rsidR="004F7A79">
        <w:rPr>
          <w:rFonts w:eastAsia="Times New Roman"/>
          <w:color w:val="000000"/>
          <w:spacing w:val="-1"/>
          <w:sz w:val="24"/>
          <w:szCs w:val="24"/>
        </w:rPr>
        <w:t>,</w:t>
      </w:r>
      <w:r w:rsidR="00C578E6" w:rsidRPr="002E0974">
        <w:rPr>
          <w:rFonts w:eastAsia="Times New Roman"/>
          <w:color w:val="000000"/>
          <w:spacing w:val="-1"/>
          <w:sz w:val="24"/>
          <w:szCs w:val="24"/>
        </w:rPr>
        <w:t xml:space="preserve"> LLC</w:t>
      </w:r>
      <w:r w:rsidR="003F3279" w:rsidRPr="002E0974">
        <w:rPr>
          <w:rFonts w:eastAsia="Times New Roman"/>
          <w:color w:val="000000"/>
          <w:spacing w:val="-1"/>
          <w:sz w:val="24"/>
          <w:szCs w:val="24"/>
        </w:rPr>
        <w:tab/>
        <w:t>)</w:t>
      </w:r>
      <w:r w:rsidR="003F3279" w:rsidRPr="002E0974">
        <w:rPr>
          <w:rFonts w:eastAsia="Times New Roman"/>
          <w:color w:val="000000"/>
          <w:spacing w:val="-1"/>
          <w:sz w:val="24"/>
          <w:szCs w:val="24"/>
        </w:rPr>
        <w:tab/>
      </w:r>
      <w:r w:rsidR="00B64511" w:rsidRPr="002E0974">
        <w:rPr>
          <w:rFonts w:eastAsia="Times New Roman"/>
          <w:color w:val="000000"/>
          <w:spacing w:val="-1"/>
          <w:sz w:val="24"/>
          <w:szCs w:val="24"/>
        </w:rPr>
        <w:tab/>
      </w:r>
      <w:r w:rsidR="003F3279" w:rsidRPr="002E0974">
        <w:rPr>
          <w:rFonts w:eastAsia="Times New Roman"/>
          <w:color w:val="000000"/>
          <w:spacing w:val="-1"/>
          <w:sz w:val="24"/>
          <w:szCs w:val="24"/>
        </w:rPr>
        <w:t>Docket No. EG2</w:t>
      </w:r>
      <w:r w:rsidR="00DD6598">
        <w:rPr>
          <w:rFonts w:eastAsia="Times New Roman"/>
          <w:color w:val="000000"/>
          <w:spacing w:val="-1"/>
          <w:sz w:val="24"/>
          <w:szCs w:val="24"/>
        </w:rPr>
        <w:t>3</w:t>
      </w:r>
      <w:r w:rsidR="003F3279" w:rsidRPr="002E0974">
        <w:rPr>
          <w:rFonts w:eastAsia="Times New Roman"/>
          <w:color w:val="000000"/>
          <w:spacing w:val="-1"/>
          <w:sz w:val="24"/>
          <w:szCs w:val="24"/>
        </w:rPr>
        <w:t>-___-000</w:t>
      </w:r>
    </w:p>
    <w:p w14:paraId="289DF92D" w14:textId="77777777" w:rsidR="00A92A1B" w:rsidRPr="002E0974" w:rsidRDefault="00A92A1B" w:rsidP="002E0974">
      <w:pPr>
        <w:jc w:val="center"/>
        <w:textAlignment w:val="baseline"/>
        <w:rPr>
          <w:rFonts w:eastAsia="Times New Roman"/>
          <w:color w:val="000000"/>
          <w:sz w:val="24"/>
          <w:szCs w:val="24"/>
        </w:rPr>
      </w:pPr>
    </w:p>
    <w:p w14:paraId="4F6D0C23" w14:textId="77777777" w:rsidR="00A92A1B" w:rsidRPr="002E0974" w:rsidRDefault="003F3279" w:rsidP="002E0974">
      <w:pPr>
        <w:jc w:val="center"/>
        <w:textAlignment w:val="baseline"/>
        <w:rPr>
          <w:rFonts w:eastAsia="Times New Roman"/>
          <w:b/>
          <w:color w:val="000000"/>
          <w:sz w:val="24"/>
          <w:szCs w:val="24"/>
        </w:rPr>
      </w:pPr>
      <w:r w:rsidRPr="002E0974">
        <w:rPr>
          <w:rFonts w:eastAsia="Times New Roman"/>
          <w:b/>
          <w:color w:val="000000"/>
          <w:sz w:val="24"/>
          <w:szCs w:val="24"/>
        </w:rPr>
        <w:t xml:space="preserve">NOTICE OF SELF-CERTIFICATION OF </w:t>
      </w:r>
      <w:r w:rsidRPr="002E0974">
        <w:rPr>
          <w:rFonts w:eastAsia="Times New Roman"/>
          <w:b/>
          <w:color w:val="000000"/>
          <w:sz w:val="24"/>
          <w:szCs w:val="24"/>
        </w:rPr>
        <w:br/>
      </w:r>
      <w:r w:rsidRPr="002E0974">
        <w:rPr>
          <w:rFonts w:eastAsia="Times New Roman"/>
          <w:b/>
          <w:color w:val="000000"/>
          <w:sz w:val="24"/>
          <w:szCs w:val="24"/>
          <w:u w:val="single"/>
        </w:rPr>
        <w:t>EXEMPT WHOLESALE GENERATOR STATUS</w:t>
      </w:r>
    </w:p>
    <w:p w14:paraId="25777DEC" w14:textId="77777777" w:rsidR="002E0974" w:rsidRDefault="002E0974" w:rsidP="002E0974">
      <w:pPr>
        <w:ind w:firstLine="792"/>
        <w:jc w:val="both"/>
        <w:textAlignment w:val="baseline"/>
        <w:rPr>
          <w:rFonts w:eastAsia="Times New Roman"/>
          <w:color w:val="000000"/>
          <w:sz w:val="24"/>
          <w:szCs w:val="24"/>
        </w:rPr>
      </w:pPr>
    </w:p>
    <w:p w14:paraId="74268D17" w14:textId="373BEBE5" w:rsidR="002E0974" w:rsidRDefault="003F3279" w:rsidP="00074692">
      <w:pPr>
        <w:spacing w:line="360" w:lineRule="auto"/>
        <w:ind w:firstLine="720"/>
        <w:jc w:val="both"/>
        <w:textAlignment w:val="baseline"/>
        <w:rPr>
          <w:rFonts w:eastAsia="Times New Roman"/>
          <w:color w:val="000000"/>
          <w:sz w:val="24"/>
          <w:szCs w:val="24"/>
        </w:rPr>
      </w:pPr>
      <w:r w:rsidRPr="002E0974">
        <w:rPr>
          <w:rFonts w:eastAsia="Times New Roman"/>
          <w:color w:val="000000"/>
          <w:sz w:val="24"/>
          <w:szCs w:val="24"/>
        </w:rPr>
        <w:t>Pursuant to the Public Utility Holding Company Act of 2005 (“PUHCA 2005”), enacted as part of the Energy Policy Act of 2005,</w:t>
      </w:r>
      <w:r w:rsidR="00C578E6" w:rsidRPr="002E0974">
        <w:rPr>
          <w:rStyle w:val="FootnoteReference"/>
          <w:rFonts w:eastAsia="Times New Roman"/>
          <w:color w:val="000000"/>
          <w:sz w:val="24"/>
          <w:szCs w:val="24"/>
        </w:rPr>
        <w:footnoteReference w:id="1"/>
      </w:r>
      <w:r w:rsidRPr="002E0974">
        <w:rPr>
          <w:rFonts w:eastAsia="Times New Roman"/>
          <w:color w:val="000000"/>
          <w:sz w:val="24"/>
          <w:szCs w:val="24"/>
        </w:rPr>
        <w:t xml:space="preserve"> and Section 366.7 of the Rules and Regulations of the Federal Energy Regulatory Commission (the “Commission”),</w:t>
      </w:r>
      <w:r w:rsidR="00C578E6" w:rsidRPr="002E0974">
        <w:rPr>
          <w:rStyle w:val="FootnoteReference"/>
          <w:rFonts w:eastAsia="Times New Roman"/>
          <w:color w:val="000000"/>
          <w:sz w:val="24"/>
          <w:szCs w:val="24"/>
        </w:rPr>
        <w:footnoteReference w:id="2"/>
      </w:r>
      <w:r w:rsidRPr="002E0974">
        <w:rPr>
          <w:rFonts w:eastAsia="Times New Roman"/>
          <w:color w:val="000000"/>
          <w:sz w:val="24"/>
          <w:szCs w:val="24"/>
        </w:rPr>
        <w:t xml:space="preserve"> </w:t>
      </w:r>
      <w:r w:rsidR="00EC28CE">
        <w:rPr>
          <w:rFonts w:eastAsia="Times New Roman"/>
          <w:color w:val="000000"/>
          <w:spacing w:val="-1"/>
          <w:sz w:val="24"/>
          <w:szCs w:val="24"/>
        </w:rPr>
        <w:t>Angelo Storage,</w:t>
      </w:r>
      <w:r w:rsidR="00EC28CE" w:rsidRPr="002E0974">
        <w:rPr>
          <w:rFonts w:eastAsia="Times New Roman"/>
          <w:color w:val="000000"/>
          <w:spacing w:val="-1"/>
          <w:sz w:val="24"/>
          <w:szCs w:val="24"/>
        </w:rPr>
        <w:t xml:space="preserve"> LLC</w:t>
      </w:r>
      <w:r w:rsidR="00C578E6" w:rsidRPr="002E0974">
        <w:rPr>
          <w:rFonts w:eastAsia="Times New Roman"/>
          <w:color w:val="000000"/>
          <w:sz w:val="24"/>
          <w:szCs w:val="24"/>
        </w:rPr>
        <w:t xml:space="preserve"> </w:t>
      </w:r>
      <w:r w:rsidRPr="002E0974">
        <w:rPr>
          <w:rFonts w:eastAsia="Times New Roman"/>
          <w:color w:val="000000"/>
          <w:sz w:val="24"/>
          <w:szCs w:val="24"/>
        </w:rPr>
        <w:t>(“Applicant”) hereby submits this Notice of Self-Certification of Exempt Wholesale Generator (“EWG”) Status</w:t>
      </w:r>
      <w:r w:rsidR="005E264F" w:rsidRPr="002E0974">
        <w:rPr>
          <w:rFonts w:eastAsia="Times New Roman"/>
          <w:color w:val="000000"/>
          <w:sz w:val="24"/>
          <w:szCs w:val="24"/>
        </w:rPr>
        <w:t>.  The Applicant is developing and will own</w:t>
      </w:r>
      <w:r w:rsidRPr="002E0974">
        <w:rPr>
          <w:rFonts w:eastAsia="Times New Roman"/>
          <w:color w:val="000000"/>
          <w:sz w:val="24"/>
          <w:szCs w:val="24"/>
        </w:rPr>
        <w:t xml:space="preserve"> a</w:t>
      </w:r>
      <w:r w:rsidR="005E264F" w:rsidRPr="002E0974">
        <w:rPr>
          <w:rFonts w:eastAsia="Times New Roman"/>
          <w:color w:val="000000"/>
          <w:sz w:val="24"/>
          <w:szCs w:val="24"/>
        </w:rPr>
        <w:t>n electric generating</w:t>
      </w:r>
      <w:r w:rsidRPr="002E0974">
        <w:rPr>
          <w:rFonts w:eastAsia="Times New Roman"/>
          <w:color w:val="000000"/>
          <w:sz w:val="24"/>
          <w:szCs w:val="24"/>
        </w:rPr>
        <w:t xml:space="preserve"> facility with a namepla</w:t>
      </w:r>
      <w:r w:rsidR="00C578E6" w:rsidRPr="002E0974">
        <w:rPr>
          <w:rFonts w:eastAsia="Times New Roman"/>
          <w:color w:val="000000"/>
          <w:sz w:val="24"/>
          <w:szCs w:val="24"/>
        </w:rPr>
        <w:t xml:space="preserve">te capacity of approximately </w:t>
      </w:r>
      <w:r w:rsidR="00EC28CE">
        <w:rPr>
          <w:rFonts w:eastAsia="Times New Roman"/>
          <w:color w:val="000000"/>
          <w:sz w:val="24"/>
          <w:szCs w:val="24"/>
        </w:rPr>
        <w:t>100</w:t>
      </w:r>
      <w:r w:rsidRPr="002E0974">
        <w:rPr>
          <w:rFonts w:eastAsia="Times New Roman"/>
          <w:color w:val="000000"/>
          <w:sz w:val="24"/>
          <w:szCs w:val="24"/>
        </w:rPr>
        <w:t xml:space="preserve"> MW</w:t>
      </w:r>
      <w:r w:rsidR="00EC28CE">
        <w:rPr>
          <w:rFonts w:eastAsia="Times New Roman"/>
          <w:color w:val="000000"/>
          <w:sz w:val="24"/>
          <w:szCs w:val="24"/>
        </w:rPr>
        <w:t>/ 200 MWh</w:t>
      </w:r>
      <w:r w:rsidRPr="002E0974">
        <w:rPr>
          <w:rFonts w:eastAsia="Times New Roman"/>
          <w:color w:val="000000"/>
          <w:sz w:val="24"/>
          <w:szCs w:val="24"/>
        </w:rPr>
        <w:t xml:space="preserve"> located in </w:t>
      </w:r>
      <w:r w:rsidR="00EC28CE">
        <w:rPr>
          <w:rFonts w:eastAsia="Times New Roman"/>
          <w:color w:val="000000"/>
          <w:sz w:val="24"/>
          <w:szCs w:val="24"/>
        </w:rPr>
        <w:t>Tom Green</w:t>
      </w:r>
      <w:r w:rsidR="002E0974" w:rsidRPr="002E0974">
        <w:rPr>
          <w:rFonts w:eastAsia="Times New Roman"/>
          <w:color w:val="000000"/>
          <w:sz w:val="24"/>
          <w:szCs w:val="24"/>
        </w:rPr>
        <w:t xml:space="preserve"> County, Texas</w:t>
      </w:r>
      <w:r w:rsidRPr="002E0974">
        <w:rPr>
          <w:rFonts w:eastAsia="Times New Roman"/>
          <w:color w:val="000000"/>
          <w:sz w:val="24"/>
          <w:szCs w:val="24"/>
        </w:rPr>
        <w:t xml:space="preserve"> (the “Eligible Facility”).</w:t>
      </w:r>
    </w:p>
    <w:p w14:paraId="05FF9AB4" w14:textId="77777777" w:rsidR="002E0974" w:rsidRPr="002E0974" w:rsidRDefault="002E0974" w:rsidP="00074692">
      <w:pPr>
        <w:spacing w:line="360" w:lineRule="auto"/>
        <w:ind w:firstLine="720"/>
        <w:jc w:val="both"/>
        <w:textAlignment w:val="baseline"/>
        <w:rPr>
          <w:rFonts w:eastAsia="Times New Roman"/>
          <w:color w:val="000000"/>
          <w:sz w:val="24"/>
          <w:szCs w:val="24"/>
        </w:rPr>
      </w:pPr>
    </w:p>
    <w:p w14:paraId="39DE9BDF" w14:textId="77777777" w:rsidR="00A92A1B" w:rsidRPr="002E0974" w:rsidRDefault="003F3279" w:rsidP="00074692">
      <w:pPr>
        <w:numPr>
          <w:ilvl w:val="0"/>
          <w:numId w:val="1"/>
        </w:numPr>
        <w:tabs>
          <w:tab w:val="clear" w:pos="792"/>
          <w:tab w:val="left" w:pos="864"/>
        </w:tabs>
        <w:spacing w:line="360" w:lineRule="auto"/>
        <w:ind w:firstLine="720"/>
        <w:textAlignment w:val="baseline"/>
        <w:rPr>
          <w:rFonts w:eastAsia="Times New Roman"/>
          <w:b/>
          <w:color w:val="000000"/>
          <w:spacing w:val="-1"/>
          <w:sz w:val="24"/>
          <w:szCs w:val="24"/>
        </w:rPr>
      </w:pPr>
      <w:r w:rsidRPr="002E0974">
        <w:rPr>
          <w:rFonts w:eastAsia="Times New Roman"/>
          <w:b/>
          <w:color w:val="000000"/>
          <w:spacing w:val="-1"/>
          <w:sz w:val="24"/>
          <w:szCs w:val="24"/>
        </w:rPr>
        <w:t>CORRESPONDENCE AND COMMUNICATIONS</w:t>
      </w:r>
    </w:p>
    <w:p w14:paraId="2C0E817F" w14:textId="77777777" w:rsidR="00A92A1B" w:rsidRPr="002E0974" w:rsidRDefault="003F3279" w:rsidP="00074692">
      <w:pPr>
        <w:spacing w:line="360" w:lineRule="auto"/>
        <w:ind w:firstLine="720"/>
        <w:jc w:val="center"/>
        <w:textAlignment w:val="baseline"/>
        <w:rPr>
          <w:rFonts w:eastAsia="Times New Roman"/>
          <w:color w:val="000000"/>
          <w:sz w:val="24"/>
          <w:szCs w:val="24"/>
        </w:rPr>
      </w:pPr>
      <w:r w:rsidRPr="002E0974">
        <w:rPr>
          <w:rFonts w:eastAsia="Times New Roman"/>
          <w:color w:val="000000"/>
          <w:sz w:val="24"/>
          <w:szCs w:val="24"/>
        </w:rPr>
        <w:t>All communications and correspondence regarding this Notice shall be directed to:</w:t>
      </w:r>
    </w:p>
    <w:p w14:paraId="438AA38D" w14:textId="77777777" w:rsidR="009B0824" w:rsidRPr="002E0974" w:rsidRDefault="009B0824" w:rsidP="00074692">
      <w:pPr>
        <w:autoSpaceDE w:val="0"/>
        <w:autoSpaceDN w:val="0"/>
        <w:adjustRightInd w:val="0"/>
        <w:snapToGrid w:val="0"/>
        <w:ind w:firstLine="720"/>
        <w:rPr>
          <w:sz w:val="24"/>
          <w:szCs w:val="24"/>
        </w:rPr>
      </w:pPr>
      <w:r w:rsidRPr="002E0974">
        <w:rPr>
          <w:sz w:val="24"/>
          <w:szCs w:val="24"/>
        </w:rPr>
        <w:t>Mark C. Williams</w:t>
      </w:r>
    </w:p>
    <w:p w14:paraId="38B13DD4" w14:textId="77777777" w:rsidR="009B0824" w:rsidRPr="002E0974" w:rsidRDefault="009B0824" w:rsidP="00074692">
      <w:pPr>
        <w:autoSpaceDE w:val="0"/>
        <w:autoSpaceDN w:val="0"/>
        <w:adjustRightInd w:val="0"/>
        <w:snapToGrid w:val="0"/>
        <w:ind w:firstLine="720"/>
        <w:rPr>
          <w:color w:val="000000"/>
          <w:sz w:val="24"/>
          <w:szCs w:val="24"/>
        </w:rPr>
      </w:pPr>
      <w:r w:rsidRPr="002E0974">
        <w:rPr>
          <w:sz w:val="24"/>
          <w:szCs w:val="24"/>
        </w:rPr>
        <w:t xml:space="preserve">Heather L. Feingold </w:t>
      </w:r>
    </w:p>
    <w:p w14:paraId="029DAD2F" w14:textId="77777777" w:rsidR="009B0824" w:rsidRPr="002E0974" w:rsidRDefault="009B0824" w:rsidP="00074692">
      <w:pPr>
        <w:autoSpaceDE w:val="0"/>
        <w:autoSpaceDN w:val="0"/>
        <w:adjustRightInd w:val="0"/>
        <w:snapToGrid w:val="0"/>
        <w:ind w:firstLine="720"/>
        <w:rPr>
          <w:color w:val="000000"/>
          <w:sz w:val="24"/>
          <w:szCs w:val="24"/>
        </w:rPr>
      </w:pPr>
      <w:r w:rsidRPr="002E0974">
        <w:rPr>
          <w:rFonts w:eastAsia="Times New Roman"/>
          <w:sz w:val="24"/>
          <w:szCs w:val="24"/>
        </w:rPr>
        <w:t>Mayer Brown LLP</w:t>
      </w:r>
    </w:p>
    <w:p w14:paraId="76099C44" w14:textId="77777777" w:rsidR="009B0824" w:rsidRPr="002E0974" w:rsidRDefault="009B0824" w:rsidP="00074692">
      <w:pPr>
        <w:autoSpaceDE w:val="0"/>
        <w:autoSpaceDN w:val="0"/>
        <w:adjustRightInd w:val="0"/>
        <w:snapToGrid w:val="0"/>
        <w:ind w:right="952" w:firstLine="720"/>
        <w:rPr>
          <w:color w:val="000000"/>
          <w:sz w:val="24"/>
          <w:szCs w:val="24"/>
        </w:rPr>
      </w:pPr>
      <w:r w:rsidRPr="002E0974">
        <w:rPr>
          <w:rFonts w:eastAsia="Times New Roman"/>
          <w:sz w:val="24"/>
          <w:szCs w:val="24"/>
        </w:rPr>
        <w:t>1999 K Street NW</w:t>
      </w:r>
    </w:p>
    <w:p w14:paraId="69BCE5BF" w14:textId="77777777" w:rsidR="009B0824" w:rsidRPr="002E0974" w:rsidRDefault="009B0824" w:rsidP="00074692">
      <w:pPr>
        <w:autoSpaceDE w:val="0"/>
        <w:autoSpaceDN w:val="0"/>
        <w:adjustRightInd w:val="0"/>
        <w:snapToGrid w:val="0"/>
        <w:ind w:right="952" w:firstLine="720"/>
        <w:rPr>
          <w:color w:val="000000"/>
          <w:sz w:val="24"/>
          <w:szCs w:val="24"/>
        </w:rPr>
      </w:pPr>
      <w:r w:rsidRPr="002E0974">
        <w:rPr>
          <w:color w:val="000000"/>
          <w:sz w:val="24"/>
          <w:szCs w:val="24"/>
        </w:rPr>
        <w:t>Washington, DC 20006</w:t>
      </w:r>
    </w:p>
    <w:p w14:paraId="0EC6C9B3" w14:textId="77777777" w:rsidR="009B0824" w:rsidRPr="00B66430" w:rsidRDefault="00AC0465" w:rsidP="00074692">
      <w:pPr>
        <w:autoSpaceDE w:val="0"/>
        <w:autoSpaceDN w:val="0"/>
        <w:adjustRightInd w:val="0"/>
        <w:snapToGrid w:val="0"/>
        <w:ind w:firstLine="720"/>
        <w:rPr>
          <w:color w:val="0070C0"/>
          <w:sz w:val="24"/>
          <w:szCs w:val="24"/>
          <w:u w:val="single" w:color="263F6A"/>
        </w:rPr>
      </w:pPr>
      <w:hyperlink r:id="rId9" w:history="1">
        <w:r w:rsidR="009B0824" w:rsidRPr="00B66430">
          <w:rPr>
            <w:rStyle w:val="Hyperlink"/>
            <w:color w:val="0070C0"/>
            <w:sz w:val="24"/>
            <w:szCs w:val="24"/>
            <w:u w:color="263F6A"/>
          </w:rPr>
          <w:t>MarkWilliams@mayerbrown.com</w:t>
        </w:r>
      </w:hyperlink>
    </w:p>
    <w:p w14:paraId="7B348E6C" w14:textId="77777777" w:rsidR="009B0824" w:rsidRPr="00B66430" w:rsidRDefault="00B66430" w:rsidP="00074692">
      <w:pPr>
        <w:autoSpaceDE w:val="0"/>
        <w:autoSpaceDN w:val="0"/>
        <w:adjustRightInd w:val="0"/>
        <w:snapToGrid w:val="0"/>
        <w:ind w:firstLine="720"/>
        <w:rPr>
          <w:color w:val="0070C0"/>
          <w:sz w:val="24"/>
          <w:szCs w:val="24"/>
          <w:u w:val="single" w:color="263F6A"/>
        </w:rPr>
      </w:pPr>
      <w:r>
        <w:rPr>
          <w:color w:val="0070C0"/>
          <w:sz w:val="24"/>
          <w:szCs w:val="24"/>
          <w:u w:val="single" w:color="263F6A"/>
        </w:rPr>
        <w:t>h</w:t>
      </w:r>
      <w:r w:rsidR="009B0824" w:rsidRPr="00B66430">
        <w:rPr>
          <w:color w:val="0070C0"/>
          <w:sz w:val="24"/>
          <w:szCs w:val="24"/>
          <w:u w:val="single" w:color="263F6A"/>
        </w:rPr>
        <w:t>feingold@mayerbrown.com</w:t>
      </w:r>
    </w:p>
    <w:p w14:paraId="2A48C07E" w14:textId="77777777" w:rsidR="00A92A1B" w:rsidRPr="002E0974" w:rsidRDefault="00A92A1B" w:rsidP="00074692">
      <w:pPr>
        <w:spacing w:line="360" w:lineRule="auto"/>
        <w:ind w:firstLine="720"/>
        <w:rPr>
          <w:sz w:val="24"/>
          <w:szCs w:val="24"/>
        </w:rPr>
      </w:pPr>
    </w:p>
    <w:p w14:paraId="440D73F8" w14:textId="77777777" w:rsidR="00A92A1B" w:rsidRPr="002E0974" w:rsidRDefault="003F3279" w:rsidP="00074692">
      <w:pPr>
        <w:numPr>
          <w:ilvl w:val="0"/>
          <w:numId w:val="1"/>
        </w:numPr>
        <w:tabs>
          <w:tab w:val="clear" w:pos="792"/>
          <w:tab w:val="left" w:pos="864"/>
        </w:tabs>
        <w:spacing w:line="360" w:lineRule="auto"/>
        <w:ind w:firstLine="720"/>
        <w:textAlignment w:val="baseline"/>
        <w:rPr>
          <w:rFonts w:eastAsia="Times New Roman"/>
          <w:b/>
          <w:color w:val="000000"/>
          <w:spacing w:val="-1"/>
          <w:sz w:val="24"/>
          <w:szCs w:val="24"/>
        </w:rPr>
      </w:pPr>
      <w:r w:rsidRPr="002E0974">
        <w:rPr>
          <w:rFonts w:eastAsia="Times New Roman"/>
          <w:b/>
          <w:color w:val="000000"/>
          <w:spacing w:val="-1"/>
          <w:sz w:val="24"/>
          <w:szCs w:val="24"/>
        </w:rPr>
        <w:t>DESCRIPTION OF APPLICANT</w:t>
      </w:r>
    </w:p>
    <w:p w14:paraId="5326D4E6" w14:textId="04B8B7FF" w:rsidR="002E0974" w:rsidRPr="002E0974" w:rsidRDefault="003F3279" w:rsidP="00074692">
      <w:pPr>
        <w:spacing w:line="360" w:lineRule="auto"/>
        <w:ind w:firstLine="720"/>
        <w:jc w:val="both"/>
        <w:textAlignment w:val="baseline"/>
        <w:rPr>
          <w:rFonts w:eastAsia="Times New Roman"/>
          <w:color w:val="000000"/>
          <w:sz w:val="24"/>
          <w:szCs w:val="24"/>
        </w:rPr>
      </w:pPr>
      <w:r w:rsidRPr="002E0974">
        <w:rPr>
          <w:rFonts w:eastAsia="Times New Roman"/>
          <w:color w:val="000000"/>
          <w:sz w:val="24"/>
          <w:szCs w:val="24"/>
        </w:rPr>
        <w:t xml:space="preserve">Applicant is the </w:t>
      </w:r>
      <w:r w:rsidR="00B66430">
        <w:rPr>
          <w:rFonts w:eastAsia="Times New Roman"/>
          <w:color w:val="000000"/>
          <w:sz w:val="24"/>
          <w:szCs w:val="24"/>
        </w:rPr>
        <w:t xml:space="preserve">direct </w:t>
      </w:r>
      <w:r w:rsidRPr="002E0974">
        <w:rPr>
          <w:rFonts w:eastAsia="Times New Roman"/>
          <w:color w:val="000000"/>
          <w:sz w:val="24"/>
          <w:szCs w:val="24"/>
        </w:rPr>
        <w:t>owner</w:t>
      </w:r>
      <w:r w:rsidR="00C578E6" w:rsidRPr="002E0974">
        <w:rPr>
          <w:rFonts w:eastAsia="Times New Roman"/>
          <w:color w:val="000000"/>
          <w:sz w:val="24"/>
          <w:szCs w:val="24"/>
        </w:rPr>
        <w:t xml:space="preserve"> of the </w:t>
      </w:r>
      <w:r w:rsidR="002E0974" w:rsidRPr="002E0974">
        <w:rPr>
          <w:rFonts w:eastAsia="Times New Roman"/>
          <w:color w:val="000000"/>
          <w:spacing w:val="-1"/>
          <w:sz w:val="24"/>
          <w:szCs w:val="24"/>
        </w:rPr>
        <w:t>Eligible Facility</w:t>
      </w:r>
      <w:r w:rsidR="00C578E6" w:rsidRPr="002E0974">
        <w:rPr>
          <w:rFonts w:eastAsia="Times New Roman"/>
          <w:color w:val="000000"/>
          <w:sz w:val="24"/>
          <w:szCs w:val="24"/>
        </w:rPr>
        <w:t xml:space="preserve">, a new </w:t>
      </w:r>
      <w:r w:rsidR="00DD6598">
        <w:rPr>
          <w:rFonts w:eastAsia="Times New Roman"/>
          <w:color w:val="000000"/>
          <w:sz w:val="24"/>
          <w:szCs w:val="24"/>
        </w:rPr>
        <w:t xml:space="preserve">approximately </w:t>
      </w:r>
      <w:r w:rsidR="00EC28CE">
        <w:rPr>
          <w:rFonts w:eastAsia="Times New Roman"/>
          <w:color w:val="000000"/>
          <w:sz w:val="24"/>
          <w:szCs w:val="24"/>
        </w:rPr>
        <w:t>100</w:t>
      </w:r>
      <w:r w:rsidRPr="002E0974">
        <w:rPr>
          <w:rFonts w:eastAsia="Times New Roman"/>
          <w:color w:val="000000"/>
          <w:sz w:val="24"/>
          <w:szCs w:val="24"/>
        </w:rPr>
        <w:t xml:space="preserve"> MW</w:t>
      </w:r>
      <w:r w:rsidR="00EC28CE">
        <w:rPr>
          <w:rFonts w:eastAsia="Times New Roman"/>
          <w:color w:val="000000"/>
          <w:sz w:val="24"/>
          <w:szCs w:val="24"/>
        </w:rPr>
        <w:t xml:space="preserve">/ 200 MWh </w:t>
      </w:r>
      <w:r w:rsidR="00DD6598">
        <w:rPr>
          <w:rFonts w:eastAsia="Times New Roman"/>
          <w:color w:val="000000"/>
          <w:sz w:val="24"/>
          <w:szCs w:val="24"/>
        </w:rPr>
        <w:t>wholesale electric storage facility</w:t>
      </w:r>
      <w:r w:rsidR="00FB24F8">
        <w:rPr>
          <w:rStyle w:val="FootnoteReference"/>
          <w:rFonts w:eastAsia="Times New Roman"/>
          <w:color w:val="000000"/>
          <w:sz w:val="24"/>
          <w:szCs w:val="24"/>
        </w:rPr>
        <w:footnoteReference w:id="3"/>
      </w:r>
      <w:r w:rsidRPr="002E0974">
        <w:rPr>
          <w:rFonts w:eastAsia="Times New Roman"/>
          <w:color w:val="000000"/>
          <w:sz w:val="24"/>
          <w:szCs w:val="24"/>
        </w:rPr>
        <w:t xml:space="preserve"> located in </w:t>
      </w:r>
      <w:r w:rsidR="00EC28CE">
        <w:rPr>
          <w:rFonts w:eastAsia="Times New Roman"/>
          <w:color w:val="000000"/>
          <w:sz w:val="24"/>
          <w:szCs w:val="24"/>
        </w:rPr>
        <w:t>Tom Green</w:t>
      </w:r>
      <w:r w:rsidR="002E0974" w:rsidRPr="002E0974">
        <w:rPr>
          <w:rFonts w:eastAsia="Times New Roman"/>
          <w:color w:val="000000"/>
          <w:sz w:val="24"/>
          <w:szCs w:val="24"/>
        </w:rPr>
        <w:t xml:space="preserve"> County</w:t>
      </w:r>
      <w:r w:rsidRPr="002E0974">
        <w:rPr>
          <w:rFonts w:eastAsia="Times New Roman"/>
          <w:color w:val="000000"/>
          <w:sz w:val="24"/>
          <w:szCs w:val="24"/>
        </w:rPr>
        <w:t xml:space="preserve">, </w:t>
      </w:r>
      <w:r w:rsidR="002E0974" w:rsidRPr="002E0974">
        <w:rPr>
          <w:rFonts w:eastAsia="Times New Roman"/>
          <w:color w:val="000000"/>
          <w:sz w:val="24"/>
          <w:szCs w:val="24"/>
        </w:rPr>
        <w:t>Texas</w:t>
      </w:r>
      <w:r w:rsidRPr="002E0974">
        <w:rPr>
          <w:rFonts w:eastAsia="Times New Roman"/>
          <w:color w:val="000000"/>
          <w:sz w:val="24"/>
          <w:szCs w:val="24"/>
        </w:rPr>
        <w:t xml:space="preserve">. The Eligible Facility will be interconnected to the transmission facilities controlled by </w:t>
      </w:r>
      <w:r w:rsidR="00EC28CE">
        <w:rPr>
          <w:rFonts w:eastAsia="Times New Roman"/>
          <w:color w:val="000000"/>
          <w:sz w:val="24"/>
          <w:szCs w:val="24"/>
        </w:rPr>
        <w:t>LCRA Transmission Services Corporation</w:t>
      </w:r>
      <w:r w:rsidR="002E0974" w:rsidRPr="002E0974">
        <w:rPr>
          <w:rFonts w:eastAsia="Times New Roman"/>
          <w:color w:val="000000"/>
          <w:sz w:val="24"/>
          <w:szCs w:val="24"/>
        </w:rPr>
        <w:t>, within the ERCOT balancing authority area</w:t>
      </w:r>
      <w:r w:rsidR="00C578E6" w:rsidRPr="002E0974">
        <w:rPr>
          <w:rFonts w:eastAsia="Times New Roman"/>
          <w:color w:val="000000"/>
          <w:sz w:val="24"/>
          <w:szCs w:val="24"/>
        </w:rPr>
        <w:t>.</w:t>
      </w:r>
      <w:r w:rsidR="002E0974" w:rsidRPr="002E0974">
        <w:rPr>
          <w:rStyle w:val="FootnoteReference"/>
          <w:rFonts w:eastAsia="Times New Roman"/>
          <w:color w:val="000000"/>
          <w:sz w:val="24"/>
          <w:szCs w:val="24"/>
        </w:rPr>
        <w:footnoteReference w:id="4"/>
      </w:r>
      <w:r w:rsidR="00C578E6" w:rsidRPr="002E0974">
        <w:rPr>
          <w:rFonts w:eastAsia="Times New Roman"/>
          <w:color w:val="000000"/>
          <w:sz w:val="24"/>
          <w:szCs w:val="24"/>
        </w:rPr>
        <w:t xml:space="preserve"> </w:t>
      </w:r>
      <w:r w:rsidRPr="002E0974">
        <w:rPr>
          <w:rFonts w:eastAsia="Times New Roman"/>
          <w:color w:val="000000"/>
          <w:sz w:val="24"/>
          <w:szCs w:val="24"/>
        </w:rPr>
        <w:t xml:space="preserve">Applicant estimates that the plant will become operational </w:t>
      </w:r>
      <w:r w:rsidR="00EC28CE">
        <w:rPr>
          <w:rFonts w:eastAsia="Times New Roman"/>
          <w:color w:val="000000"/>
          <w:sz w:val="24"/>
          <w:szCs w:val="24"/>
        </w:rPr>
        <w:t>during Spring 2024</w:t>
      </w:r>
      <w:r w:rsidRPr="002E0974">
        <w:rPr>
          <w:rFonts w:eastAsia="Times New Roman"/>
          <w:color w:val="000000"/>
          <w:sz w:val="24"/>
          <w:szCs w:val="24"/>
        </w:rPr>
        <w:t xml:space="preserve">. </w:t>
      </w:r>
      <w:r w:rsidR="002E0974" w:rsidRPr="002E0974">
        <w:rPr>
          <w:rFonts w:eastAsia="Times New Roman"/>
          <w:color w:val="000000"/>
          <w:sz w:val="24"/>
          <w:szCs w:val="24"/>
        </w:rPr>
        <w:t xml:space="preserve"> The Applicant is indirectly owned by </w:t>
      </w:r>
      <w:r w:rsidR="00DD6598">
        <w:rPr>
          <w:rFonts w:eastAsia="Times New Roman"/>
          <w:color w:val="000000"/>
          <w:sz w:val="24"/>
          <w:szCs w:val="24"/>
        </w:rPr>
        <w:t>vehicles managed under the control of Ares Management Corporation</w:t>
      </w:r>
      <w:r w:rsidR="002E0974" w:rsidRPr="002E0974">
        <w:rPr>
          <w:rFonts w:eastAsia="Times New Roman"/>
          <w:color w:val="000000"/>
          <w:sz w:val="24"/>
          <w:szCs w:val="24"/>
        </w:rPr>
        <w:t xml:space="preserve">.    </w:t>
      </w:r>
    </w:p>
    <w:p w14:paraId="13C2534C" w14:textId="77777777" w:rsidR="004904F1" w:rsidRPr="002E0974" w:rsidRDefault="004904F1" w:rsidP="00074692">
      <w:pPr>
        <w:spacing w:line="360" w:lineRule="auto"/>
        <w:ind w:firstLine="720"/>
        <w:jc w:val="both"/>
        <w:textAlignment w:val="baseline"/>
        <w:rPr>
          <w:rFonts w:eastAsia="Times New Roman"/>
          <w:color w:val="000000"/>
          <w:sz w:val="24"/>
          <w:szCs w:val="24"/>
        </w:rPr>
      </w:pPr>
    </w:p>
    <w:p w14:paraId="210258FD" w14:textId="77777777" w:rsidR="00A92A1B" w:rsidRPr="002E0974" w:rsidRDefault="003F3279" w:rsidP="00074692">
      <w:pPr>
        <w:spacing w:line="360" w:lineRule="auto"/>
        <w:ind w:firstLine="720"/>
        <w:jc w:val="both"/>
        <w:textAlignment w:val="baseline"/>
        <w:rPr>
          <w:rFonts w:eastAsia="Times New Roman"/>
          <w:b/>
          <w:color w:val="000000"/>
          <w:spacing w:val="8"/>
          <w:sz w:val="24"/>
          <w:szCs w:val="24"/>
        </w:rPr>
      </w:pPr>
      <w:r w:rsidRPr="002E0974">
        <w:rPr>
          <w:rFonts w:eastAsia="Times New Roman"/>
          <w:b/>
          <w:color w:val="000000"/>
          <w:spacing w:val="8"/>
          <w:sz w:val="24"/>
          <w:szCs w:val="24"/>
        </w:rPr>
        <w:t>III. SELF CERTIFICATION OF EWG STATUS</w:t>
      </w:r>
    </w:p>
    <w:p w14:paraId="721C953C" w14:textId="77777777" w:rsidR="00A92A1B" w:rsidRPr="002E0974" w:rsidRDefault="003F3279" w:rsidP="00074692">
      <w:pPr>
        <w:spacing w:line="360" w:lineRule="auto"/>
        <w:ind w:firstLine="720"/>
        <w:jc w:val="both"/>
        <w:textAlignment w:val="baseline"/>
        <w:rPr>
          <w:rFonts w:eastAsia="Times New Roman"/>
          <w:color w:val="000000"/>
          <w:sz w:val="24"/>
          <w:szCs w:val="24"/>
        </w:rPr>
      </w:pPr>
      <w:r w:rsidRPr="002E0974">
        <w:rPr>
          <w:rFonts w:eastAsia="Times New Roman"/>
          <w:color w:val="000000"/>
          <w:sz w:val="24"/>
          <w:szCs w:val="24"/>
        </w:rPr>
        <w:t>The Commission’s regulations require that an EWG be engaged directly, or indirectly through one or more affiliates, and exclusively in the business of owning and/or operating one or more eligible facilities and selli</w:t>
      </w:r>
      <w:r w:rsidR="004904F1">
        <w:rPr>
          <w:rFonts w:eastAsia="Times New Roman"/>
          <w:color w:val="000000"/>
          <w:sz w:val="24"/>
          <w:szCs w:val="24"/>
        </w:rPr>
        <w:t>ng electric energy at wholesale.</w:t>
      </w:r>
      <w:r w:rsidR="004904F1">
        <w:rPr>
          <w:rStyle w:val="FootnoteReference"/>
          <w:rFonts w:eastAsia="Times New Roman"/>
          <w:color w:val="000000"/>
          <w:sz w:val="24"/>
          <w:szCs w:val="24"/>
        </w:rPr>
        <w:footnoteReference w:id="5"/>
      </w:r>
      <w:r w:rsidRPr="002E0974">
        <w:rPr>
          <w:rFonts w:eastAsia="Times New Roman"/>
          <w:color w:val="000000"/>
          <w:sz w:val="24"/>
          <w:szCs w:val="24"/>
        </w:rPr>
        <w:t xml:space="preserve"> Consistent with the Commission’s regulations, Applicant makes the following representations to certify that it will satisfy the requirements for EWG status:</w:t>
      </w:r>
    </w:p>
    <w:p w14:paraId="4D9608E5" w14:textId="77777777" w:rsidR="00A92A1B" w:rsidRPr="002E0974" w:rsidRDefault="003F3279" w:rsidP="00074692">
      <w:pPr>
        <w:numPr>
          <w:ilvl w:val="0"/>
          <w:numId w:val="2"/>
        </w:numPr>
        <w:tabs>
          <w:tab w:val="clear" w:pos="360"/>
          <w:tab w:val="left" w:pos="1224"/>
        </w:tabs>
        <w:spacing w:line="360" w:lineRule="auto"/>
        <w:ind w:right="360" w:firstLine="720"/>
        <w:textAlignment w:val="baseline"/>
        <w:rPr>
          <w:rFonts w:eastAsia="Times New Roman"/>
          <w:color w:val="000000"/>
          <w:sz w:val="24"/>
          <w:szCs w:val="24"/>
        </w:rPr>
      </w:pPr>
      <w:r w:rsidRPr="002E0974">
        <w:rPr>
          <w:rFonts w:eastAsia="Times New Roman"/>
          <w:color w:val="000000"/>
          <w:sz w:val="24"/>
          <w:szCs w:val="24"/>
        </w:rPr>
        <w:t>Applicant will be engaged directly and exclusively in the business of owning or operating, or both owning and operating, all or part of one or more “eligible facilities” and selling electric energy at wholesale, and the Eligible Facility will satisfy the definition of an “eligible facility” because it will be used for the generation of electric energy exclusively for sale at wholesale.</w:t>
      </w:r>
    </w:p>
    <w:p w14:paraId="0FE01AD4" w14:textId="77777777" w:rsidR="00A92A1B" w:rsidRPr="002E0974" w:rsidRDefault="003F3279" w:rsidP="00074692">
      <w:pPr>
        <w:numPr>
          <w:ilvl w:val="0"/>
          <w:numId w:val="2"/>
        </w:numPr>
        <w:tabs>
          <w:tab w:val="clear" w:pos="360"/>
          <w:tab w:val="left" w:pos="1224"/>
        </w:tabs>
        <w:spacing w:line="360" w:lineRule="auto"/>
        <w:ind w:right="504" w:firstLine="720"/>
        <w:textAlignment w:val="baseline"/>
        <w:rPr>
          <w:rFonts w:eastAsia="Times New Roman"/>
          <w:color w:val="000000"/>
          <w:sz w:val="24"/>
          <w:szCs w:val="24"/>
        </w:rPr>
      </w:pPr>
      <w:r w:rsidRPr="002E0974">
        <w:rPr>
          <w:rFonts w:eastAsia="Times New Roman"/>
          <w:color w:val="000000"/>
          <w:sz w:val="24"/>
          <w:szCs w:val="24"/>
        </w:rPr>
        <w:t>Applicant will not own any transmission facilities other than those interconnection facilities that are necessary to effect the wholesale sale of electric energy from the Eligible Facility, consistent with Commission precedent construing the definition of “eligible facility” under Section 32(a)(2) of PUHCA 1935.</w:t>
      </w:r>
    </w:p>
    <w:p w14:paraId="2371DE21" w14:textId="77777777" w:rsidR="00A92A1B" w:rsidRPr="002E0974" w:rsidRDefault="003F3279" w:rsidP="00074692">
      <w:pPr>
        <w:numPr>
          <w:ilvl w:val="0"/>
          <w:numId w:val="2"/>
        </w:numPr>
        <w:tabs>
          <w:tab w:val="clear" w:pos="360"/>
          <w:tab w:val="left" w:pos="1224"/>
        </w:tabs>
        <w:spacing w:line="360" w:lineRule="auto"/>
        <w:ind w:firstLine="720"/>
        <w:textAlignment w:val="baseline"/>
        <w:rPr>
          <w:rFonts w:eastAsia="Times New Roman"/>
          <w:color w:val="000000"/>
          <w:spacing w:val="-1"/>
          <w:sz w:val="24"/>
          <w:szCs w:val="24"/>
        </w:rPr>
      </w:pPr>
      <w:r w:rsidRPr="002E0974">
        <w:rPr>
          <w:rFonts w:eastAsia="Times New Roman"/>
          <w:color w:val="000000"/>
          <w:spacing w:val="-1"/>
          <w:sz w:val="24"/>
          <w:szCs w:val="24"/>
        </w:rPr>
        <w:t>No rate or charge for, or in connection with, the construction of the Eligible Facility, or for electric energy produced thereby, was in effect under the laws of any State on October 24, 1992 and, therefore, no State determination is required with respect to this filing.</w:t>
      </w:r>
    </w:p>
    <w:p w14:paraId="62636AC8" w14:textId="77777777" w:rsidR="00A92A1B" w:rsidRPr="00074692" w:rsidRDefault="003F3279" w:rsidP="00D62789">
      <w:pPr>
        <w:numPr>
          <w:ilvl w:val="0"/>
          <w:numId w:val="2"/>
        </w:numPr>
        <w:tabs>
          <w:tab w:val="clear" w:pos="360"/>
          <w:tab w:val="left" w:pos="1224"/>
        </w:tabs>
        <w:spacing w:line="360" w:lineRule="auto"/>
        <w:ind w:right="72" w:firstLine="720"/>
        <w:jc w:val="both"/>
        <w:textAlignment w:val="baseline"/>
        <w:rPr>
          <w:rFonts w:eastAsia="Times New Roman"/>
          <w:color w:val="000000"/>
          <w:sz w:val="24"/>
          <w:szCs w:val="24"/>
          <w:vertAlign w:val="superscript"/>
        </w:rPr>
      </w:pPr>
      <w:r w:rsidRPr="00074692">
        <w:rPr>
          <w:rFonts w:eastAsia="Times New Roman"/>
          <w:color w:val="000000"/>
          <w:sz w:val="24"/>
          <w:szCs w:val="24"/>
        </w:rPr>
        <w:t>There are no lease arrangements through which Applicant will lease the Eligible Facility to a public utility company or any other party.</w:t>
      </w:r>
      <w:r w:rsidR="00074692" w:rsidRPr="00074692">
        <w:rPr>
          <w:rFonts w:eastAsia="Times New Roman"/>
          <w:color w:val="000000"/>
          <w:sz w:val="24"/>
          <w:szCs w:val="24"/>
        </w:rPr>
        <w:t xml:space="preserve">  </w:t>
      </w:r>
    </w:p>
    <w:p w14:paraId="1B046FD9" w14:textId="77777777" w:rsidR="00A92A1B" w:rsidRPr="002E0974" w:rsidRDefault="003F3279" w:rsidP="00074692">
      <w:pPr>
        <w:numPr>
          <w:ilvl w:val="0"/>
          <w:numId w:val="3"/>
        </w:numPr>
        <w:tabs>
          <w:tab w:val="clear" w:pos="360"/>
          <w:tab w:val="left" w:pos="1224"/>
        </w:tabs>
        <w:spacing w:line="360" w:lineRule="auto"/>
        <w:ind w:right="432" w:firstLine="720"/>
        <w:textAlignment w:val="baseline"/>
        <w:rPr>
          <w:rFonts w:eastAsia="Times New Roman"/>
          <w:color w:val="000000"/>
          <w:sz w:val="24"/>
          <w:szCs w:val="24"/>
        </w:rPr>
      </w:pPr>
      <w:r w:rsidRPr="002E0974">
        <w:rPr>
          <w:rFonts w:eastAsia="Times New Roman"/>
          <w:color w:val="000000"/>
          <w:sz w:val="24"/>
          <w:szCs w:val="24"/>
        </w:rPr>
        <w:t>Applicant does not sell electricity at retail to any customer. Accordingly, the Eligible Facility does not rely on the exception provided by Section 32(b) of PUHCA 1935 regarding foreign sales of power at retail.</w:t>
      </w:r>
    </w:p>
    <w:p w14:paraId="14438E9C" w14:textId="77777777" w:rsidR="00A92A1B" w:rsidRPr="002E0974" w:rsidRDefault="003F3279" w:rsidP="00074692">
      <w:pPr>
        <w:numPr>
          <w:ilvl w:val="0"/>
          <w:numId w:val="3"/>
        </w:numPr>
        <w:tabs>
          <w:tab w:val="clear" w:pos="360"/>
          <w:tab w:val="left" w:pos="1224"/>
        </w:tabs>
        <w:spacing w:line="360" w:lineRule="auto"/>
        <w:ind w:right="648" w:firstLine="720"/>
        <w:textAlignment w:val="baseline"/>
        <w:rPr>
          <w:rFonts w:eastAsia="Times New Roman"/>
          <w:color w:val="000000"/>
          <w:sz w:val="24"/>
          <w:szCs w:val="24"/>
        </w:rPr>
      </w:pPr>
      <w:r w:rsidRPr="002E0974">
        <w:rPr>
          <w:rFonts w:eastAsia="Times New Roman"/>
          <w:color w:val="000000"/>
          <w:sz w:val="24"/>
          <w:szCs w:val="24"/>
        </w:rPr>
        <w:t>No portion of the Eligible Facility will be owned or operated by an “electric utility company” that is an “affiliate” or “associate company” of Applicant.</w:t>
      </w:r>
    </w:p>
    <w:p w14:paraId="7EC2A1AD" w14:textId="77777777" w:rsidR="00A92A1B" w:rsidRPr="002E0974" w:rsidRDefault="003F3279" w:rsidP="00074692">
      <w:pPr>
        <w:numPr>
          <w:ilvl w:val="0"/>
          <w:numId w:val="3"/>
        </w:numPr>
        <w:tabs>
          <w:tab w:val="clear" w:pos="360"/>
          <w:tab w:val="left" w:pos="1224"/>
        </w:tabs>
        <w:spacing w:line="360" w:lineRule="auto"/>
        <w:ind w:firstLine="720"/>
        <w:textAlignment w:val="baseline"/>
        <w:rPr>
          <w:rFonts w:eastAsia="Times New Roman"/>
          <w:color w:val="000000"/>
          <w:spacing w:val="-1"/>
          <w:sz w:val="24"/>
          <w:szCs w:val="24"/>
        </w:rPr>
      </w:pPr>
      <w:r w:rsidRPr="002E0974">
        <w:rPr>
          <w:rFonts w:eastAsia="Times New Roman"/>
          <w:color w:val="000000"/>
          <w:spacing w:val="-1"/>
          <w:sz w:val="24"/>
          <w:szCs w:val="24"/>
        </w:rPr>
        <w:t>Applicant may engage in activities the Commission has previously determined to be “incidental” to an EWG’s primary business of owning and operating eligible facilities and selling electric energy exclusively at wholesale, including, but not necessarily limited to:</w:t>
      </w:r>
    </w:p>
    <w:p w14:paraId="0BC17418" w14:textId="77777777" w:rsidR="00A92A1B" w:rsidRPr="002E0974" w:rsidRDefault="003F3279" w:rsidP="00074692">
      <w:pPr>
        <w:numPr>
          <w:ilvl w:val="0"/>
          <w:numId w:val="4"/>
        </w:numPr>
        <w:tabs>
          <w:tab w:val="clear" w:pos="360"/>
          <w:tab w:val="left" w:pos="2304"/>
        </w:tabs>
        <w:spacing w:line="360" w:lineRule="auto"/>
        <w:ind w:right="144" w:firstLine="720"/>
        <w:jc w:val="both"/>
        <w:textAlignment w:val="baseline"/>
        <w:rPr>
          <w:rFonts w:eastAsia="Times New Roman"/>
          <w:color w:val="000000"/>
          <w:sz w:val="24"/>
          <w:szCs w:val="24"/>
        </w:rPr>
      </w:pPr>
      <w:r w:rsidRPr="002E0974">
        <w:rPr>
          <w:rFonts w:eastAsia="Times New Roman"/>
          <w:color w:val="000000"/>
          <w:sz w:val="24"/>
          <w:szCs w:val="24"/>
        </w:rPr>
        <w:t xml:space="preserve">Wholesale marketing and brokering of electric energy that Applicant has not </w:t>
      </w:r>
      <w:r w:rsidR="00B66430">
        <w:rPr>
          <w:rFonts w:eastAsia="Times New Roman"/>
          <w:color w:val="000000"/>
          <w:sz w:val="24"/>
          <w:szCs w:val="24"/>
        </w:rPr>
        <w:t xml:space="preserve">itself </w:t>
      </w:r>
      <w:r w:rsidRPr="002E0974">
        <w:rPr>
          <w:rFonts w:eastAsia="Times New Roman"/>
          <w:color w:val="000000"/>
          <w:sz w:val="24"/>
          <w:szCs w:val="24"/>
        </w:rPr>
        <w:t>generated;</w:t>
      </w:r>
      <w:r w:rsidR="004904F1">
        <w:rPr>
          <w:rStyle w:val="FootnoteReference"/>
          <w:rFonts w:eastAsia="Times New Roman"/>
          <w:color w:val="000000"/>
          <w:sz w:val="24"/>
          <w:szCs w:val="24"/>
        </w:rPr>
        <w:footnoteReference w:id="6"/>
      </w:r>
      <w:r w:rsidRPr="002E0974">
        <w:rPr>
          <w:rFonts w:eastAsia="Times New Roman"/>
          <w:color w:val="000000"/>
          <w:sz w:val="24"/>
          <w:szCs w:val="24"/>
        </w:rPr>
        <w:t xml:space="preserve"> </w:t>
      </w:r>
    </w:p>
    <w:p w14:paraId="178F7524" w14:textId="77777777" w:rsidR="00A92A1B" w:rsidRPr="002E0974" w:rsidRDefault="003F3279" w:rsidP="00074692">
      <w:pPr>
        <w:numPr>
          <w:ilvl w:val="0"/>
          <w:numId w:val="4"/>
        </w:numPr>
        <w:tabs>
          <w:tab w:val="clear" w:pos="360"/>
          <w:tab w:val="left" w:pos="2304"/>
        </w:tabs>
        <w:spacing w:line="360" w:lineRule="auto"/>
        <w:ind w:firstLine="720"/>
        <w:textAlignment w:val="baseline"/>
        <w:rPr>
          <w:rFonts w:eastAsia="Times New Roman"/>
          <w:color w:val="000000"/>
          <w:sz w:val="24"/>
          <w:szCs w:val="24"/>
        </w:rPr>
      </w:pPr>
      <w:r w:rsidRPr="002E0974">
        <w:rPr>
          <w:rFonts w:eastAsia="Times New Roman"/>
          <w:color w:val="000000"/>
          <w:sz w:val="24"/>
          <w:szCs w:val="24"/>
        </w:rPr>
        <w:t>Selling or reselling ancillary services and interconnected operations services at wholesale consistent with Commission precedent construing the exclusivity requirements of Section 32 of PUHCA;</w:t>
      </w:r>
      <w:r w:rsidR="00B66430">
        <w:rPr>
          <w:rStyle w:val="FootnoteReference"/>
          <w:rFonts w:eastAsia="Times New Roman"/>
          <w:color w:val="000000"/>
          <w:sz w:val="24"/>
          <w:szCs w:val="24"/>
        </w:rPr>
        <w:footnoteReference w:id="7"/>
      </w:r>
      <w:r w:rsidRPr="002E0974">
        <w:rPr>
          <w:rFonts w:eastAsia="Times New Roman"/>
          <w:color w:val="000000"/>
          <w:sz w:val="24"/>
          <w:szCs w:val="24"/>
        </w:rPr>
        <w:t xml:space="preserve"> </w:t>
      </w:r>
    </w:p>
    <w:p w14:paraId="758DB74C" w14:textId="77777777" w:rsidR="00A92A1B" w:rsidRPr="002E0974" w:rsidRDefault="003F3279" w:rsidP="00074692">
      <w:pPr>
        <w:numPr>
          <w:ilvl w:val="0"/>
          <w:numId w:val="4"/>
        </w:numPr>
        <w:tabs>
          <w:tab w:val="clear" w:pos="360"/>
          <w:tab w:val="left" w:pos="2304"/>
        </w:tabs>
        <w:spacing w:line="360" w:lineRule="auto"/>
        <w:ind w:right="216" w:firstLine="720"/>
        <w:textAlignment w:val="baseline"/>
        <w:rPr>
          <w:rFonts w:eastAsia="Times New Roman"/>
          <w:color w:val="000000"/>
          <w:sz w:val="24"/>
          <w:szCs w:val="24"/>
        </w:rPr>
      </w:pPr>
      <w:r w:rsidRPr="002E0974">
        <w:rPr>
          <w:rFonts w:eastAsia="Times New Roman"/>
          <w:color w:val="000000"/>
          <w:sz w:val="24"/>
          <w:szCs w:val="24"/>
        </w:rPr>
        <w:t>Risk management and hedging activities that are a necessary incident to participation in the energy markets (e.g., financial swap arrangements to cover price fluctuations associated with Applicant’s physical exposure of its wholesale sales of electric energy in the energy markets);</w:t>
      </w:r>
      <w:r w:rsidR="00B66430">
        <w:rPr>
          <w:rStyle w:val="FootnoteReference"/>
          <w:rFonts w:eastAsia="Times New Roman"/>
          <w:color w:val="000000"/>
          <w:sz w:val="24"/>
          <w:szCs w:val="24"/>
        </w:rPr>
        <w:footnoteReference w:id="8"/>
      </w:r>
      <w:r w:rsidRPr="002E0974">
        <w:rPr>
          <w:rFonts w:eastAsia="Times New Roman"/>
          <w:color w:val="000000"/>
          <w:sz w:val="24"/>
          <w:szCs w:val="24"/>
        </w:rPr>
        <w:t xml:space="preserve"> </w:t>
      </w:r>
    </w:p>
    <w:p w14:paraId="58BDDAEA" w14:textId="77777777" w:rsidR="00A92A1B" w:rsidRPr="002E0974" w:rsidRDefault="003F3279" w:rsidP="00074692">
      <w:pPr>
        <w:numPr>
          <w:ilvl w:val="0"/>
          <w:numId w:val="4"/>
        </w:numPr>
        <w:tabs>
          <w:tab w:val="clear" w:pos="360"/>
          <w:tab w:val="left" w:pos="2304"/>
        </w:tabs>
        <w:spacing w:line="360" w:lineRule="auto"/>
        <w:ind w:firstLine="720"/>
        <w:textAlignment w:val="baseline"/>
        <w:rPr>
          <w:rFonts w:eastAsia="Times New Roman"/>
          <w:color w:val="000000"/>
          <w:sz w:val="24"/>
          <w:szCs w:val="24"/>
        </w:rPr>
      </w:pPr>
      <w:r w:rsidRPr="002E0974">
        <w:rPr>
          <w:rFonts w:eastAsia="Times New Roman"/>
          <w:color w:val="000000"/>
          <w:sz w:val="24"/>
          <w:szCs w:val="24"/>
        </w:rPr>
        <w:t>The sale of byproducts of the generation of electric energy;</w:t>
      </w:r>
      <w:r w:rsidR="004904F1">
        <w:rPr>
          <w:rStyle w:val="FootnoteReference"/>
          <w:rFonts w:eastAsia="Times New Roman"/>
          <w:color w:val="000000"/>
          <w:sz w:val="24"/>
          <w:szCs w:val="24"/>
        </w:rPr>
        <w:footnoteReference w:id="9"/>
      </w:r>
      <w:r w:rsidRPr="002E0974">
        <w:rPr>
          <w:rFonts w:eastAsia="Times New Roman"/>
          <w:color w:val="000000"/>
          <w:sz w:val="24"/>
          <w:szCs w:val="24"/>
        </w:rPr>
        <w:t xml:space="preserve"> </w:t>
      </w:r>
    </w:p>
    <w:p w14:paraId="06842A0A" w14:textId="77777777" w:rsidR="00A92A1B" w:rsidRPr="002E0974" w:rsidRDefault="003F3279" w:rsidP="00074692">
      <w:pPr>
        <w:numPr>
          <w:ilvl w:val="0"/>
          <w:numId w:val="4"/>
        </w:numPr>
        <w:tabs>
          <w:tab w:val="clear" w:pos="360"/>
          <w:tab w:val="left" w:pos="2304"/>
        </w:tabs>
        <w:spacing w:line="360" w:lineRule="auto"/>
        <w:ind w:firstLine="720"/>
        <w:textAlignment w:val="baseline"/>
        <w:rPr>
          <w:rFonts w:eastAsia="Times New Roman"/>
          <w:color w:val="000000"/>
          <w:sz w:val="24"/>
          <w:szCs w:val="24"/>
        </w:rPr>
      </w:pPr>
      <w:r w:rsidRPr="002E0974">
        <w:rPr>
          <w:rFonts w:eastAsia="Times New Roman"/>
          <w:color w:val="000000"/>
          <w:sz w:val="24"/>
          <w:szCs w:val="24"/>
        </w:rPr>
        <w:t>Entering into contracts for transmission capacity solely to the extent</w:t>
      </w:r>
    </w:p>
    <w:p w14:paraId="174D6BBF" w14:textId="77777777" w:rsidR="00A92A1B" w:rsidRPr="002E0974" w:rsidRDefault="003F3279" w:rsidP="00074692">
      <w:pPr>
        <w:spacing w:line="360" w:lineRule="auto"/>
        <w:ind w:right="144" w:firstLine="720"/>
        <w:textAlignment w:val="baseline"/>
        <w:rPr>
          <w:rFonts w:eastAsia="Times New Roman"/>
          <w:color w:val="000000"/>
          <w:sz w:val="24"/>
          <w:szCs w:val="24"/>
        </w:rPr>
      </w:pPr>
      <w:r w:rsidRPr="002E0974">
        <w:rPr>
          <w:rFonts w:eastAsia="Times New Roman"/>
          <w:color w:val="000000"/>
          <w:sz w:val="24"/>
          <w:szCs w:val="24"/>
        </w:rPr>
        <w:t>necessary to effect sales at wholesale of electricity generated by Applicant or others;</w:t>
      </w:r>
      <w:r w:rsidR="004904F1">
        <w:rPr>
          <w:rStyle w:val="FootnoteReference"/>
          <w:rFonts w:eastAsia="Times New Roman"/>
          <w:color w:val="000000"/>
          <w:sz w:val="24"/>
          <w:szCs w:val="24"/>
        </w:rPr>
        <w:footnoteReference w:id="10"/>
      </w:r>
      <w:r w:rsidRPr="002E0974">
        <w:rPr>
          <w:rFonts w:eastAsia="Times New Roman"/>
          <w:color w:val="000000"/>
          <w:sz w:val="24"/>
          <w:szCs w:val="24"/>
        </w:rPr>
        <w:t xml:space="preserve"> </w:t>
      </w:r>
    </w:p>
    <w:p w14:paraId="102B3503" w14:textId="77777777" w:rsidR="00A92A1B" w:rsidRPr="002E0974" w:rsidRDefault="003F3279" w:rsidP="00074692">
      <w:pPr>
        <w:numPr>
          <w:ilvl w:val="0"/>
          <w:numId w:val="4"/>
        </w:numPr>
        <w:tabs>
          <w:tab w:val="clear" w:pos="360"/>
          <w:tab w:val="left" w:pos="2304"/>
        </w:tabs>
        <w:spacing w:line="360" w:lineRule="auto"/>
        <w:ind w:right="216" w:firstLine="720"/>
        <w:jc w:val="both"/>
        <w:textAlignment w:val="baseline"/>
        <w:rPr>
          <w:rFonts w:eastAsia="Times New Roman"/>
          <w:color w:val="000000"/>
          <w:sz w:val="24"/>
          <w:szCs w:val="24"/>
        </w:rPr>
      </w:pPr>
      <w:r w:rsidRPr="002E0974">
        <w:rPr>
          <w:rFonts w:eastAsia="Times New Roman"/>
          <w:color w:val="000000"/>
          <w:sz w:val="24"/>
          <w:szCs w:val="24"/>
        </w:rPr>
        <w:t>Reselling or reassigning excess transmission capacity originally obtained to effect a wholesale sale of electric energy;</w:t>
      </w:r>
      <w:r w:rsidR="004904F1">
        <w:rPr>
          <w:rStyle w:val="FootnoteReference"/>
          <w:rFonts w:eastAsia="Times New Roman"/>
          <w:color w:val="000000"/>
          <w:sz w:val="24"/>
          <w:szCs w:val="24"/>
        </w:rPr>
        <w:footnoteReference w:id="11"/>
      </w:r>
      <w:r w:rsidRPr="002E0974">
        <w:rPr>
          <w:rFonts w:eastAsia="Times New Roman"/>
          <w:color w:val="000000"/>
          <w:sz w:val="24"/>
          <w:szCs w:val="24"/>
        </w:rPr>
        <w:t xml:space="preserve"> </w:t>
      </w:r>
    </w:p>
    <w:p w14:paraId="649D7786" w14:textId="77777777" w:rsidR="00A92A1B" w:rsidRPr="002E0974" w:rsidRDefault="003F3279" w:rsidP="00074692">
      <w:pPr>
        <w:numPr>
          <w:ilvl w:val="0"/>
          <w:numId w:val="4"/>
        </w:numPr>
        <w:tabs>
          <w:tab w:val="clear" w:pos="360"/>
          <w:tab w:val="left" w:pos="2304"/>
        </w:tabs>
        <w:spacing w:line="360" w:lineRule="auto"/>
        <w:ind w:right="216" w:firstLine="720"/>
        <w:textAlignment w:val="baseline"/>
        <w:rPr>
          <w:rFonts w:eastAsia="Times New Roman"/>
          <w:color w:val="000000"/>
          <w:sz w:val="24"/>
          <w:szCs w:val="24"/>
        </w:rPr>
      </w:pPr>
      <w:r w:rsidRPr="002E0974">
        <w:rPr>
          <w:rFonts w:eastAsia="Times New Roman"/>
          <w:color w:val="000000"/>
          <w:sz w:val="24"/>
          <w:szCs w:val="24"/>
        </w:rPr>
        <w:t>The purchase and sale of congestion revenue rights that Applicant needs for the Eligible Facility’s power sale operations;</w:t>
      </w:r>
      <w:r w:rsidR="004904F1">
        <w:rPr>
          <w:rStyle w:val="FootnoteReference"/>
          <w:rFonts w:eastAsia="Times New Roman"/>
          <w:color w:val="000000"/>
          <w:sz w:val="24"/>
          <w:szCs w:val="24"/>
        </w:rPr>
        <w:footnoteReference w:id="12"/>
      </w:r>
      <w:r w:rsidRPr="002E0974">
        <w:rPr>
          <w:rFonts w:eastAsia="Times New Roman"/>
          <w:color w:val="000000"/>
          <w:sz w:val="24"/>
          <w:szCs w:val="24"/>
        </w:rPr>
        <w:t xml:space="preserve"> </w:t>
      </w:r>
    </w:p>
    <w:p w14:paraId="07FF3BCE" w14:textId="77777777" w:rsidR="00A92A1B" w:rsidRPr="002E0974" w:rsidRDefault="003F3279" w:rsidP="00074692">
      <w:pPr>
        <w:numPr>
          <w:ilvl w:val="0"/>
          <w:numId w:val="4"/>
        </w:numPr>
        <w:tabs>
          <w:tab w:val="clear" w:pos="360"/>
          <w:tab w:val="left" w:pos="2304"/>
        </w:tabs>
        <w:spacing w:line="360" w:lineRule="auto"/>
        <w:ind w:right="216" w:firstLine="720"/>
        <w:jc w:val="both"/>
        <w:textAlignment w:val="baseline"/>
        <w:rPr>
          <w:rFonts w:eastAsia="Times New Roman"/>
          <w:color w:val="000000"/>
          <w:sz w:val="24"/>
          <w:szCs w:val="24"/>
        </w:rPr>
      </w:pPr>
      <w:r w:rsidRPr="002E0974">
        <w:rPr>
          <w:rFonts w:eastAsia="Times New Roman"/>
          <w:color w:val="000000"/>
          <w:sz w:val="24"/>
          <w:szCs w:val="24"/>
        </w:rPr>
        <w:t>Delivering fuel to third parties to generate electric power to be delivered by that third party to Applicant for sale at wholesale;</w:t>
      </w:r>
      <w:r w:rsidR="004904F1">
        <w:rPr>
          <w:rStyle w:val="FootnoteReference"/>
          <w:rFonts w:eastAsia="Times New Roman"/>
          <w:color w:val="000000"/>
          <w:sz w:val="24"/>
          <w:szCs w:val="24"/>
        </w:rPr>
        <w:footnoteReference w:id="13"/>
      </w:r>
      <w:r w:rsidRPr="002E0974">
        <w:rPr>
          <w:rFonts w:eastAsia="Times New Roman"/>
          <w:color w:val="000000"/>
          <w:sz w:val="24"/>
          <w:szCs w:val="24"/>
        </w:rPr>
        <w:t xml:space="preserve"> </w:t>
      </w:r>
    </w:p>
    <w:p w14:paraId="65A6056E" w14:textId="77777777" w:rsidR="00A92A1B" w:rsidRPr="002E0974" w:rsidRDefault="003F3279" w:rsidP="00074692">
      <w:pPr>
        <w:numPr>
          <w:ilvl w:val="0"/>
          <w:numId w:val="4"/>
        </w:numPr>
        <w:tabs>
          <w:tab w:val="clear" w:pos="360"/>
          <w:tab w:val="left" w:pos="2304"/>
        </w:tabs>
        <w:spacing w:line="360" w:lineRule="auto"/>
        <w:ind w:right="432" w:firstLine="720"/>
        <w:textAlignment w:val="baseline"/>
        <w:rPr>
          <w:rFonts w:eastAsia="Times New Roman"/>
          <w:color w:val="000000"/>
          <w:sz w:val="24"/>
          <w:szCs w:val="24"/>
        </w:rPr>
      </w:pPr>
      <w:r w:rsidRPr="002E0974">
        <w:rPr>
          <w:rFonts w:eastAsia="Times New Roman"/>
          <w:color w:val="000000"/>
          <w:sz w:val="24"/>
          <w:szCs w:val="24"/>
        </w:rPr>
        <w:t>Trading emission allowances associated with the normal operations of the Eligible Facility;</w:t>
      </w:r>
      <w:r w:rsidR="004904F1">
        <w:rPr>
          <w:rStyle w:val="FootnoteReference"/>
          <w:rFonts w:eastAsia="Times New Roman"/>
          <w:color w:val="000000"/>
          <w:sz w:val="24"/>
          <w:szCs w:val="24"/>
        </w:rPr>
        <w:footnoteReference w:id="14"/>
      </w:r>
      <w:r w:rsidRPr="002E0974">
        <w:rPr>
          <w:rFonts w:eastAsia="Times New Roman"/>
          <w:color w:val="000000"/>
          <w:sz w:val="24"/>
          <w:szCs w:val="24"/>
        </w:rPr>
        <w:t xml:space="preserve"> </w:t>
      </w:r>
    </w:p>
    <w:p w14:paraId="2D2B449F" w14:textId="77777777" w:rsidR="00A92A1B" w:rsidRPr="002E0974" w:rsidRDefault="003F3279" w:rsidP="00074692">
      <w:pPr>
        <w:numPr>
          <w:ilvl w:val="0"/>
          <w:numId w:val="5"/>
        </w:numPr>
        <w:tabs>
          <w:tab w:val="clear" w:pos="360"/>
          <w:tab w:val="left" w:pos="2232"/>
        </w:tabs>
        <w:spacing w:line="360" w:lineRule="auto"/>
        <w:ind w:right="576" w:firstLine="720"/>
        <w:textAlignment w:val="baseline"/>
        <w:rPr>
          <w:rFonts w:eastAsia="Times New Roman"/>
          <w:color w:val="000000"/>
          <w:sz w:val="24"/>
          <w:szCs w:val="24"/>
        </w:rPr>
      </w:pPr>
      <w:r w:rsidRPr="002E0974">
        <w:rPr>
          <w:rFonts w:eastAsia="Times New Roman"/>
          <w:color w:val="000000"/>
          <w:sz w:val="24"/>
          <w:szCs w:val="24"/>
        </w:rPr>
        <w:t>The sale of “green” power certificates or credits associated with power produced by the Eligible Facility or other eligible facilities owned and/or operated by Applicant;</w:t>
      </w:r>
      <w:r w:rsidR="004904F1">
        <w:rPr>
          <w:rStyle w:val="FootnoteReference"/>
          <w:rFonts w:eastAsia="Times New Roman"/>
          <w:color w:val="000000"/>
          <w:sz w:val="24"/>
          <w:szCs w:val="24"/>
        </w:rPr>
        <w:footnoteReference w:id="15"/>
      </w:r>
      <w:r w:rsidRPr="002E0974">
        <w:rPr>
          <w:rFonts w:eastAsia="Times New Roman"/>
          <w:color w:val="000000"/>
          <w:sz w:val="24"/>
          <w:szCs w:val="24"/>
        </w:rPr>
        <w:t xml:space="preserve"> </w:t>
      </w:r>
    </w:p>
    <w:p w14:paraId="6FF464AC" w14:textId="77777777" w:rsidR="00A92A1B" w:rsidRPr="002E0974" w:rsidRDefault="003F3279" w:rsidP="00074692">
      <w:pPr>
        <w:numPr>
          <w:ilvl w:val="0"/>
          <w:numId w:val="5"/>
        </w:numPr>
        <w:tabs>
          <w:tab w:val="clear" w:pos="360"/>
          <w:tab w:val="left" w:pos="2232"/>
        </w:tabs>
        <w:spacing w:line="360" w:lineRule="auto"/>
        <w:ind w:right="216" w:firstLine="720"/>
        <w:textAlignment w:val="baseline"/>
        <w:rPr>
          <w:rFonts w:eastAsia="Times New Roman"/>
          <w:color w:val="000000"/>
          <w:sz w:val="24"/>
          <w:szCs w:val="24"/>
        </w:rPr>
      </w:pPr>
      <w:r w:rsidRPr="002E0974">
        <w:rPr>
          <w:rFonts w:eastAsia="Times New Roman"/>
          <w:color w:val="000000"/>
          <w:sz w:val="24"/>
          <w:szCs w:val="24"/>
        </w:rPr>
        <w:t>Sales of spare parts and/or equipment originally acquired in connection with the ownership and operation of the Eligible Facility when such spare parts and/or equipment have become excess to Applicant’s needs;</w:t>
      </w:r>
      <w:r w:rsidR="004904F1">
        <w:rPr>
          <w:rStyle w:val="FootnoteReference"/>
          <w:rFonts w:eastAsia="Times New Roman"/>
          <w:color w:val="000000"/>
          <w:sz w:val="24"/>
          <w:szCs w:val="24"/>
        </w:rPr>
        <w:footnoteReference w:id="16"/>
      </w:r>
      <w:r w:rsidRPr="002E0974">
        <w:rPr>
          <w:rFonts w:eastAsia="Times New Roman"/>
          <w:color w:val="000000"/>
          <w:sz w:val="24"/>
          <w:szCs w:val="24"/>
        </w:rPr>
        <w:t xml:space="preserve"> </w:t>
      </w:r>
    </w:p>
    <w:p w14:paraId="0DC6FD51" w14:textId="77777777" w:rsidR="00A92A1B" w:rsidRPr="002E0974" w:rsidRDefault="003F3279" w:rsidP="00074692">
      <w:pPr>
        <w:numPr>
          <w:ilvl w:val="0"/>
          <w:numId w:val="5"/>
        </w:numPr>
        <w:tabs>
          <w:tab w:val="clear" w:pos="360"/>
          <w:tab w:val="left" w:pos="2232"/>
        </w:tabs>
        <w:spacing w:line="360" w:lineRule="auto"/>
        <w:ind w:right="288" w:firstLine="720"/>
        <w:textAlignment w:val="baseline"/>
        <w:rPr>
          <w:rFonts w:eastAsia="Times New Roman"/>
          <w:color w:val="000000"/>
          <w:spacing w:val="-1"/>
          <w:sz w:val="24"/>
          <w:szCs w:val="24"/>
        </w:rPr>
      </w:pPr>
      <w:r w:rsidRPr="002E0974">
        <w:rPr>
          <w:rFonts w:eastAsia="Times New Roman"/>
          <w:color w:val="000000"/>
          <w:spacing w:val="-1"/>
          <w:sz w:val="24"/>
          <w:szCs w:val="24"/>
        </w:rPr>
        <w:t>Engaging in certain project development and financing activities associated with the Eligible Facility, such as developing and constructing the Eligible Facility and additional generating facilities and other activities that may be required to achieve financial closing on an eligible facility or an EWG;</w:t>
      </w:r>
      <w:r w:rsidR="004904F1">
        <w:rPr>
          <w:rStyle w:val="FootnoteReference"/>
          <w:rFonts w:eastAsia="Times New Roman"/>
          <w:color w:val="000000"/>
          <w:spacing w:val="-1"/>
          <w:sz w:val="24"/>
          <w:szCs w:val="24"/>
        </w:rPr>
        <w:footnoteReference w:id="17"/>
      </w:r>
      <w:r w:rsidRPr="002E0974">
        <w:rPr>
          <w:rFonts w:eastAsia="Times New Roman"/>
          <w:color w:val="000000"/>
          <w:spacing w:val="-1"/>
          <w:sz w:val="24"/>
          <w:szCs w:val="24"/>
        </w:rPr>
        <w:t xml:space="preserve"> </w:t>
      </w:r>
    </w:p>
    <w:p w14:paraId="25F0D662" w14:textId="77777777" w:rsidR="00A92A1B" w:rsidRPr="002E0974" w:rsidRDefault="003F3279" w:rsidP="00074692">
      <w:pPr>
        <w:numPr>
          <w:ilvl w:val="0"/>
          <w:numId w:val="5"/>
        </w:numPr>
        <w:tabs>
          <w:tab w:val="clear" w:pos="360"/>
          <w:tab w:val="left" w:pos="2232"/>
        </w:tabs>
        <w:spacing w:line="360" w:lineRule="auto"/>
        <w:ind w:right="72" w:firstLine="720"/>
        <w:textAlignment w:val="baseline"/>
        <w:rPr>
          <w:rFonts w:eastAsia="Times New Roman"/>
          <w:color w:val="000000"/>
          <w:sz w:val="24"/>
          <w:szCs w:val="24"/>
        </w:rPr>
      </w:pPr>
      <w:r w:rsidRPr="002E0974">
        <w:rPr>
          <w:rFonts w:eastAsia="Times New Roman"/>
          <w:color w:val="000000"/>
          <w:sz w:val="24"/>
          <w:szCs w:val="24"/>
        </w:rPr>
        <w:t>Leasing or renting property to third parties, provided that all revenues above one dollar (a nominal amount) from activities not reasonably incidental to the ownership or operation of the Eligible Facility and sales of electric energy at wholesale are donated to charity or transferred to a non-affiliate;</w:t>
      </w:r>
      <w:r w:rsidR="004904F1">
        <w:rPr>
          <w:rStyle w:val="FootnoteReference"/>
          <w:rFonts w:eastAsia="Times New Roman"/>
          <w:color w:val="000000"/>
          <w:sz w:val="24"/>
          <w:szCs w:val="24"/>
        </w:rPr>
        <w:footnoteReference w:id="18"/>
      </w:r>
      <w:r w:rsidRPr="002E0974">
        <w:rPr>
          <w:rFonts w:eastAsia="Times New Roman"/>
          <w:color w:val="000000"/>
          <w:sz w:val="24"/>
          <w:szCs w:val="24"/>
        </w:rPr>
        <w:t xml:space="preserve"> </w:t>
      </w:r>
    </w:p>
    <w:p w14:paraId="235D2BCB" w14:textId="77777777" w:rsidR="00A92A1B" w:rsidRPr="002E0974" w:rsidRDefault="003F3279" w:rsidP="00074692">
      <w:pPr>
        <w:numPr>
          <w:ilvl w:val="0"/>
          <w:numId w:val="5"/>
        </w:numPr>
        <w:tabs>
          <w:tab w:val="clear" w:pos="360"/>
          <w:tab w:val="left" w:pos="2232"/>
        </w:tabs>
        <w:spacing w:line="360" w:lineRule="auto"/>
        <w:ind w:right="216" w:firstLine="720"/>
        <w:textAlignment w:val="baseline"/>
        <w:rPr>
          <w:rFonts w:eastAsia="Times New Roman"/>
          <w:color w:val="000000"/>
          <w:sz w:val="24"/>
          <w:szCs w:val="24"/>
        </w:rPr>
      </w:pPr>
      <w:r w:rsidRPr="002E0974">
        <w:rPr>
          <w:rFonts w:eastAsia="Times New Roman"/>
          <w:color w:val="000000"/>
          <w:sz w:val="24"/>
          <w:szCs w:val="24"/>
        </w:rPr>
        <w:t>Entering into agreements relating to facilities to be shared with other entities and used in the operation of eligible facilities, as consistent with FERC EWG precedent;</w:t>
      </w:r>
      <w:r w:rsidR="000864AE">
        <w:rPr>
          <w:rStyle w:val="FootnoteReference"/>
          <w:rFonts w:eastAsia="Times New Roman"/>
          <w:color w:val="000000"/>
          <w:sz w:val="24"/>
          <w:szCs w:val="24"/>
        </w:rPr>
        <w:footnoteReference w:id="19"/>
      </w:r>
      <w:r w:rsidRPr="002E0974">
        <w:rPr>
          <w:rFonts w:eastAsia="Times New Roman"/>
          <w:color w:val="000000"/>
          <w:sz w:val="24"/>
          <w:szCs w:val="24"/>
        </w:rPr>
        <w:t xml:space="preserve"> and</w:t>
      </w:r>
    </w:p>
    <w:p w14:paraId="4865DB72" w14:textId="77777777" w:rsidR="00A92A1B" w:rsidRPr="002E0974" w:rsidRDefault="003F3279" w:rsidP="00074692">
      <w:pPr>
        <w:numPr>
          <w:ilvl w:val="0"/>
          <w:numId w:val="5"/>
        </w:numPr>
        <w:tabs>
          <w:tab w:val="clear" w:pos="360"/>
          <w:tab w:val="left" w:pos="2232"/>
        </w:tabs>
        <w:spacing w:line="360" w:lineRule="auto"/>
        <w:ind w:right="72" w:firstLine="720"/>
        <w:textAlignment w:val="baseline"/>
        <w:rPr>
          <w:rFonts w:eastAsia="Times New Roman"/>
          <w:color w:val="000000"/>
          <w:sz w:val="24"/>
          <w:szCs w:val="24"/>
        </w:rPr>
      </w:pPr>
      <w:r w:rsidRPr="002E0974">
        <w:rPr>
          <w:rFonts w:eastAsia="Times New Roman"/>
          <w:color w:val="000000"/>
          <w:sz w:val="24"/>
          <w:szCs w:val="24"/>
        </w:rPr>
        <w:t>Such other activities incidental to the sale of electric energy at wholesale that are consistent with the Commission’s EWG precedent.</w:t>
      </w:r>
    </w:p>
    <w:p w14:paraId="06A06FF2" w14:textId="77777777" w:rsidR="00A92A1B" w:rsidRDefault="003F3279" w:rsidP="00074692">
      <w:pPr>
        <w:spacing w:line="360" w:lineRule="auto"/>
        <w:ind w:right="72" w:firstLine="720"/>
        <w:jc w:val="both"/>
        <w:textAlignment w:val="baseline"/>
        <w:rPr>
          <w:rFonts w:eastAsia="Times New Roman"/>
          <w:color w:val="000000"/>
          <w:sz w:val="24"/>
          <w:szCs w:val="24"/>
        </w:rPr>
      </w:pPr>
      <w:r w:rsidRPr="002E0974">
        <w:rPr>
          <w:rFonts w:eastAsia="Times New Roman"/>
          <w:color w:val="000000"/>
          <w:sz w:val="24"/>
          <w:szCs w:val="24"/>
        </w:rPr>
        <w:t>In accordance with Section 366.7(a) of the Commission’s regulations, a copy of this Notice is concurrently being served up</w:t>
      </w:r>
      <w:r w:rsidR="008F1841" w:rsidRPr="002E0974">
        <w:rPr>
          <w:rFonts w:eastAsia="Times New Roman"/>
          <w:color w:val="000000"/>
          <w:sz w:val="24"/>
          <w:szCs w:val="24"/>
        </w:rPr>
        <w:t>on the Public Utility</w:t>
      </w:r>
      <w:r w:rsidRPr="002E0974">
        <w:rPr>
          <w:rFonts w:eastAsia="Times New Roman"/>
          <w:color w:val="000000"/>
          <w:sz w:val="24"/>
          <w:szCs w:val="24"/>
        </w:rPr>
        <w:t xml:space="preserve"> Commission</w:t>
      </w:r>
      <w:r w:rsidR="008F1841" w:rsidRPr="002E0974">
        <w:rPr>
          <w:rFonts w:eastAsia="Times New Roman"/>
          <w:color w:val="000000"/>
          <w:sz w:val="24"/>
          <w:szCs w:val="24"/>
        </w:rPr>
        <w:t xml:space="preserve"> of </w:t>
      </w:r>
      <w:r w:rsidR="000864AE">
        <w:rPr>
          <w:rFonts w:eastAsia="Times New Roman"/>
          <w:color w:val="000000"/>
          <w:sz w:val="24"/>
          <w:szCs w:val="24"/>
        </w:rPr>
        <w:t>Texas</w:t>
      </w:r>
      <w:r w:rsidRPr="002E0974">
        <w:rPr>
          <w:rFonts w:eastAsia="Times New Roman"/>
          <w:color w:val="000000"/>
          <w:sz w:val="24"/>
          <w:szCs w:val="24"/>
        </w:rPr>
        <w:t>.</w:t>
      </w:r>
    </w:p>
    <w:p w14:paraId="53F34DFC" w14:textId="77777777" w:rsidR="008A46AE" w:rsidRDefault="008A46AE" w:rsidP="008A46AE">
      <w:pPr>
        <w:rPr>
          <w:rFonts w:eastAsia="Times New Roman"/>
          <w:b/>
          <w:color w:val="000000"/>
          <w:spacing w:val="21"/>
          <w:sz w:val="24"/>
          <w:szCs w:val="24"/>
        </w:rPr>
      </w:pPr>
    </w:p>
    <w:p w14:paraId="3803A9CB" w14:textId="77777777" w:rsidR="008A46AE" w:rsidRDefault="008A46AE">
      <w:pPr>
        <w:rPr>
          <w:rFonts w:eastAsia="Times New Roman"/>
          <w:b/>
          <w:color w:val="000000"/>
          <w:spacing w:val="21"/>
          <w:sz w:val="24"/>
          <w:szCs w:val="24"/>
        </w:rPr>
      </w:pPr>
      <w:r>
        <w:rPr>
          <w:rFonts w:eastAsia="Times New Roman"/>
          <w:b/>
          <w:color w:val="000000"/>
          <w:spacing w:val="21"/>
          <w:sz w:val="24"/>
          <w:szCs w:val="24"/>
        </w:rPr>
        <w:br w:type="page"/>
      </w:r>
    </w:p>
    <w:p w14:paraId="7F95A423" w14:textId="77777777" w:rsidR="00074692" w:rsidRDefault="003F3279" w:rsidP="008A46AE">
      <w:pPr>
        <w:rPr>
          <w:rFonts w:eastAsia="Times New Roman"/>
          <w:b/>
          <w:color w:val="000000"/>
          <w:spacing w:val="21"/>
          <w:sz w:val="24"/>
          <w:szCs w:val="24"/>
        </w:rPr>
      </w:pPr>
      <w:r w:rsidRPr="002E0974">
        <w:rPr>
          <w:rFonts w:eastAsia="Times New Roman"/>
          <w:b/>
          <w:color w:val="000000"/>
          <w:spacing w:val="21"/>
          <w:sz w:val="24"/>
          <w:szCs w:val="24"/>
        </w:rPr>
        <w:t>IV. CONCLUSION</w:t>
      </w:r>
    </w:p>
    <w:p w14:paraId="61ECF54A" w14:textId="77777777" w:rsidR="00EC28CE" w:rsidRDefault="00EC28CE" w:rsidP="00074692">
      <w:pPr>
        <w:spacing w:line="360" w:lineRule="auto"/>
        <w:ind w:firstLine="720"/>
        <w:textAlignment w:val="baseline"/>
        <w:rPr>
          <w:rFonts w:eastAsia="Times New Roman"/>
          <w:color w:val="000000"/>
          <w:sz w:val="24"/>
          <w:szCs w:val="24"/>
        </w:rPr>
      </w:pPr>
    </w:p>
    <w:p w14:paraId="2AC6D94A" w14:textId="3C068A1B" w:rsidR="00A92A1B" w:rsidRDefault="003F3279" w:rsidP="00074692">
      <w:pPr>
        <w:spacing w:line="360" w:lineRule="auto"/>
        <w:ind w:firstLine="720"/>
        <w:textAlignment w:val="baseline"/>
        <w:rPr>
          <w:rFonts w:eastAsia="Times New Roman"/>
          <w:color w:val="000000"/>
          <w:sz w:val="24"/>
          <w:szCs w:val="24"/>
        </w:rPr>
      </w:pPr>
      <w:r w:rsidRPr="002E0974">
        <w:rPr>
          <w:rFonts w:eastAsia="Times New Roman"/>
          <w:color w:val="000000"/>
          <w:sz w:val="24"/>
          <w:szCs w:val="24"/>
        </w:rPr>
        <w:t>For the foregoing reasons, Applicant respectfully requests that the Commission accept this</w:t>
      </w:r>
      <w:r w:rsidR="00074692">
        <w:rPr>
          <w:rFonts w:eastAsia="Times New Roman"/>
          <w:color w:val="000000"/>
          <w:sz w:val="24"/>
          <w:szCs w:val="24"/>
        </w:rPr>
        <w:t xml:space="preserve"> </w:t>
      </w:r>
      <w:r w:rsidRPr="002E0974">
        <w:rPr>
          <w:rFonts w:eastAsia="Times New Roman"/>
          <w:color w:val="000000"/>
          <w:sz w:val="24"/>
          <w:szCs w:val="24"/>
        </w:rPr>
        <w:t>Notice of Self-Certification of EWG Status.</w:t>
      </w:r>
    </w:p>
    <w:p w14:paraId="298AA80D" w14:textId="77777777" w:rsidR="00074692" w:rsidRPr="002E0974" w:rsidRDefault="00074692" w:rsidP="00074692">
      <w:pPr>
        <w:spacing w:line="360" w:lineRule="auto"/>
        <w:ind w:firstLine="720"/>
        <w:textAlignment w:val="baseline"/>
        <w:rPr>
          <w:rFonts w:eastAsia="Times New Roman"/>
          <w:color w:val="000000"/>
          <w:sz w:val="24"/>
          <w:szCs w:val="24"/>
        </w:rPr>
      </w:pPr>
    </w:p>
    <w:p w14:paraId="475DCF17" w14:textId="77777777" w:rsidR="00A92A1B" w:rsidRPr="002E0974" w:rsidRDefault="003F3279" w:rsidP="002E0974">
      <w:pPr>
        <w:ind w:left="4536"/>
        <w:textAlignment w:val="baseline"/>
        <w:rPr>
          <w:rFonts w:eastAsia="Times New Roman"/>
          <w:color w:val="000000"/>
          <w:sz w:val="24"/>
          <w:szCs w:val="24"/>
        </w:rPr>
      </w:pPr>
      <w:r w:rsidRPr="002E0974">
        <w:rPr>
          <w:rFonts w:eastAsia="Times New Roman"/>
          <w:color w:val="000000"/>
          <w:sz w:val="24"/>
          <w:szCs w:val="24"/>
        </w:rPr>
        <w:t>Respectfully submitted,</w:t>
      </w:r>
    </w:p>
    <w:p w14:paraId="74DE936C" w14:textId="77777777" w:rsidR="00C578E6" w:rsidRPr="002E0974" w:rsidRDefault="008F1841" w:rsidP="000864AE">
      <w:pPr>
        <w:ind w:left="3600" w:right="860"/>
        <w:textAlignment w:val="baseline"/>
        <w:rPr>
          <w:rFonts w:eastAsia="Times New Roman"/>
          <w:i/>
          <w:color w:val="000000"/>
          <w:spacing w:val="69"/>
          <w:sz w:val="24"/>
          <w:szCs w:val="24"/>
          <w:u w:val="single"/>
        </w:rPr>
      </w:pPr>
      <w:r w:rsidRPr="002E0974">
        <w:rPr>
          <w:rFonts w:eastAsia="Times New Roman"/>
          <w:i/>
          <w:color w:val="000000"/>
          <w:spacing w:val="69"/>
          <w:sz w:val="24"/>
          <w:szCs w:val="24"/>
        </w:rPr>
        <w:t xml:space="preserve">     </w:t>
      </w:r>
      <w:r w:rsidR="008A3E86" w:rsidRPr="002E0974">
        <w:rPr>
          <w:rFonts w:eastAsia="Times New Roman"/>
          <w:i/>
          <w:color w:val="000000"/>
          <w:spacing w:val="69"/>
          <w:sz w:val="24"/>
          <w:szCs w:val="24"/>
        </w:rPr>
        <w:t xml:space="preserve"> </w:t>
      </w:r>
      <w:r w:rsidRPr="002E0974">
        <w:rPr>
          <w:rFonts w:eastAsia="Times New Roman"/>
          <w:i/>
          <w:color w:val="000000"/>
          <w:spacing w:val="69"/>
          <w:sz w:val="24"/>
          <w:szCs w:val="24"/>
          <w:u w:val="single"/>
        </w:rPr>
        <w:t xml:space="preserve">/S/Mark C. </w:t>
      </w:r>
      <w:r w:rsidR="000864AE">
        <w:rPr>
          <w:rFonts w:eastAsia="Times New Roman"/>
          <w:i/>
          <w:color w:val="000000"/>
          <w:spacing w:val="69"/>
          <w:sz w:val="24"/>
          <w:szCs w:val="24"/>
          <w:u w:val="single"/>
        </w:rPr>
        <w:t>W</w:t>
      </w:r>
      <w:r w:rsidRPr="002E0974">
        <w:rPr>
          <w:rFonts w:eastAsia="Times New Roman"/>
          <w:i/>
          <w:color w:val="000000"/>
          <w:spacing w:val="69"/>
          <w:sz w:val="24"/>
          <w:szCs w:val="24"/>
          <w:u w:val="single"/>
        </w:rPr>
        <w:t>illiams</w:t>
      </w:r>
      <w:r w:rsidR="003F3279" w:rsidRPr="002E0974">
        <w:rPr>
          <w:rFonts w:eastAsia="Times New Roman"/>
          <w:i/>
          <w:color w:val="000000"/>
          <w:spacing w:val="69"/>
          <w:sz w:val="24"/>
          <w:szCs w:val="24"/>
          <w:u w:val="single"/>
        </w:rPr>
        <w:t xml:space="preserve">  </w:t>
      </w:r>
    </w:p>
    <w:p w14:paraId="19CA8FEC" w14:textId="77777777" w:rsidR="008A3E86" w:rsidRPr="002E0974" w:rsidRDefault="008A3E86" w:rsidP="002E0974">
      <w:pPr>
        <w:autoSpaceDE w:val="0"/>
        <w:autoSpaceDN w:val="0"/>
        <w:adjustRightInd w:val="0"/>
        <w:snapToGrid w:val="0"/>
        <w:ind w:left="4320"/>
        <w:rPr>
          <w:sz w:val="24"/>
          <w:szCs w:val="24"/>
        </w:rPr>
      </w:pPr>
      <w:r w:rsidRPr="002E0974">
        <w:rPr>
          <w:sz w:val="24"/>
          <w:szCs w:val="24"/>
        </w:rPr>
        <w:t>Mark C. Williams</w:t>
      </w:r>
    </w:p>
    <w:p w14:paraId="0B00039D" w14:textId="77777777" w:rsidR="008A3E86" w:rsidRPr="002E0974" w:rsidRDefault="008A3E86" w:rsidP="002E0974">
      <w:pPr>
        <w:autoSpaceDE w:val="0"/>
        <w:autoSpaceDN w:val="0"/>
        <w:adjustRightInd w:val="0"/>
        <w:snapToGrid w:val="0"/>
        <w:ind w:left="4320"/>
        <w:rPr>
          <w:color w:val="000000"/>
          <w:sz w:val="24"/>
          <w:szCs w:val="24"/>
        </w:rPr>
      </w:pPr>
      <w:r w:rsidRPr="002E0974">
        <w:rPr>
          <w:sz w:val="24"/>
          <w:szCs w:val="24"/>
        </w:rPr>
        <w:t xml:space="preserve">Heather L. Feingold </w:t>
      </w:r>
    </w:p>
    <w:p w14:paraId="1A975E54" w14:textId="77777777" w:rsidR="008A3E86" w:rsidRPr="002E0974" w:rsidRDefault="008A3E86" w:rsidP="002E0974">
      <w:pPr>
        <w:autoSpaceDE w:val="0"/>
        <w:autoSpaceDN w:val="0"/>
        <w:adjustRightInd w:val="0"/>
        <w:snapToGrid w:val="0"/>
        <w:ind w:left="4320"/>
        <w:rPr>
          <w:color w:val="000000"/>
          <w:sz w:val="24"/>
          <w:szCs w:val="24"/>
        </w:rPr>
      </w:pPr>
      <w:r w:rsidRPr="002E0974">
        <w:rPr>
          <w:rFonts w:eastAsia="Times New Roman"/>
          <w:sz w:val="24"/>
          <w:szCs w:val="24"/>
        </w:rPr>
        <w:t>Mayer Brown LLP</w:t>
      </w:r>
    </w:p>
    <w:p w14:paraId="3C0A6A26" w14:textId="77777777" w:rsidR="008A3E86" w:rsidRPr="002E0974" w:rsidRDefault="008A3E86" w:rsidP="002E0974">
      <w:pPr>
        <w:autoSpaceDE w:val="0"/>
        <w:autoSpaceDN w:val="0"/>
        <w:adjustRightInd w:val="0"/>
        <w:snapToGrid w:val="0"/>
        <w:ind w:left="4320" w:right="952"/>
        <w:rPr>
          <w:color w:val="000000"/>
          <w:sz w:val="24"/>
          <w:szCs w:val="24"/>
        </w:rPr>
      </w:pPr>
      <w:r w:rsidRPr="002E0974">
        <w:rPr>
          <w:rFonts w:eastAsia="Times New Roman"/>
          <w:sz w:val="24"/>
          <w:szCs w:val="24"/>
        </w:rPr>
        <w:t>1999 K Street NW</w:t>
      </w:r>
    </w:p>
    <w:p w14:paraId="7696FF08" w14:textId="77777777" w:rsidR="008A3E86" w:rsidRPr="002E0974" w:rsidRDefault="008A3E86" w:rsidP="002E0974">
      <w:pPr>
        <w:autoSpaceDE w:val="0"/>
        <w:autoSpaceDN w:val="0"/>
        <w:adjustRightInd w:val="0"/>
        <w:snapToGrid w:val="0"/>
        <w:ind w:left="4320" w:right="952"/>
        <w:rPr>
          <w:color w:val="000000"/>
          <w:sz w:val="24"/>
          <w:szCs w:val="24"/>
        </w:rPr>
      </w:pPr>
      <w:r w:rsidRPr="002E0974">
        <w:rPr>
          <w:color w:val="000000"/>
          <w:sz w:val="24"/>
          <w:szCs w:val="24"/>
        </w:rPr>
        <w:t>Washington, DC 20006</w:t>
      </w:r>
    </w:p>
    <w:p w14:paraId="19C2BDD6" w14:textId="77777777" w:rsidR="008A3E86" w:rsidRPr="002E0974" w:rsidRDefault="00AC0465" w:rsidP="002E0974">
      <w:pPr>
        <w:autoSpaceDE w:val="0"/>
        <w:autoSpaceDN w:val="0"/>
        <w:adjustRightInd w:val="0"/>
        <w:snapToGrid w:val="0"/>
        <w:ind w:left="4320"/>
        <w:rPr>
          <w:color w:val="263F6A"/>
          <w:sz w:val="24"/>
          <w:szCs w:val="24"/>
          <w:u w:val="single" w:color="263F6A"/>
        </w:rPr>
      </w:pPr>
      <w:hyperlink r:id="rId10" w:history="1">
        <w:r w:rsidR="008A3E86" w:rsidRPr="002E0974">
          <w:rPr>
            <w:rStyle w:val="Hyperlink"/>
            <w:sz w:val="24"/>
            <w:szCs w:val="24"/>
            <w:u w:color="263F6A"/>
          </w:rPr>
          <w:t>MarkWilliams@mayerbrown.com</w:t>
        </w:r>
      </w:hyperlink>
    </w:p>
    <w:p w14:paraId="5EF96BD2" w14:textId="77777777" w:rsidR="008A3E86" w:rsidRPr="002E0974" w:rsidRDefault="00074692" w:rsidP="002E0974">
      <w:pPr>
        <w:autoSpaceDE w:val="0"/>
        <w:autoSpaceDN w:val="0"/>
        <w:adjustRightInd w:val="0"/>
        <w:snapToGrid w:val="0"/>
        <w:ind w:left="4320"/>
        <w:rPr>
          <w:color w:val="263F6A"/>
          <w:sz w:val="24"/>
          <w:szCs w:val="24"/>
          <w:u w:val="single" w:color="263F6A"/>
        </w:rPr>
      </w:pPr>
      <w:r>
        <w:rPr>
          <w:color w:val="263F6A"/>
          <w:sz w:val="24"/>
          <w:szCs w:val="24"/>
          <w:u w:val="single" w:color="263F6A"/>
        </w:rPr>
        <w:t>h</w:t>
      </w:r>
      <w:r w:rsidR="008A3E86" w:rsidRPr="002E0974">
        <w:rPr>
          <w:color w:val="263F6A"/>
          <w:sz w:val="24"/>
          <w:szCs w:val="24"/>
          <w:u w:val="single" w:color="263F6A"/>
        </w:rPr>
        <w:t>feingold@mayerbrown.com</w:t>
      </w:r>
    </w:p>
    <w:p w14:paraId="21AA3028" w14:textId="77777777" w:rsidR="00A92A1B" w:rsidRPr="002E0974" w:rsidRDefault="003F3279" w:rsidP="002E0974">
      <w:pPr>
        <w:ind w:left="4536"/>
        <w:textAlignment w:val="baseline"/>
        <w:rPr>
          <w:rFonts w:eastAsia="Times New Roman"/>
          <w:color w:val="0000FF"/>
          <w:sz w:val="24"/>
          <w:szCs w:val="24"/>
          <w:u w:val="single"/>
        </w:rPr>
      </w:pPr>
      <w:r w:rsidRPr="002E0974">
        <w:rPr>
          <w:rFonts w:eastAsia="Times New Roman"/>
          <w:color w:val="0000FF"/>
          <w:sz w:val="24"/>
          <w:szCs w:val="24"/>
        </w:rPr>
        <w:t xml:space="preserve"> </w:t>
      </w:r>
    </w:p>
    <w:p w14:paraId="19063258" w14:textId="7411D9B5" w:rsidR="00A92A1B" w:rsidRPr="002E0974" w:rsidRDefault="003F3279" w:rsidP="002E0974">
      <w:pPr>
        <w:ind w:left="216"/>
        <w:textAlignment w:val="baseline"/>
        <w:rPr>
          <w:rFonts w:eastAsia="Times New Roman"/>
          <w:color w:val="000000"/>
          <w:spacing w:val="2"/>
          <w:sz w:val="24"/>
          <w:szCs w:val="24"/>
        </w:rPr>
      </w:pPr>
      <w:r w:rsidRPr="002E0974">
        <w:rPr>
          <w:rFonts w:eastAsia="Times New Roman"/>
          <w:color w:val="000000"/>
          <w:spacing w:val="2"/>
          <w:sz w:val="24"/>
          <w:szCs w:val="24"/>
        </w:rPr>
        <w:t xml:space="preserve">Dated: </w:t>
      </w:r>
      <w:r w:rsidR="005C322F">
        <w:rPr>
          <w:rFonts w:eastAsia="Times New Roman"/>
          <w:color w:val="000000"/>
          <w:spacing w:val="2"/>
          <w:sz w:val="24"/>
          <w:szCs w:val="24"/>
        </w:rPr>
        <w:t>April 24, 2023</w:t>
      </w:r>
    </w:p>
    <w:p w14:paraId="1DC61C35" w14:textId="77777777" w:rsidR="000864AE" w:rsidRDefault="000864AE" w:rsidP="002E0974">
      <w:pPr>
        <w:tabs>
          <w:tab w:val="left" w:pos="936"/>
        </w:tabs>
        <w:ind w:left="216" w:right="792"/>
        <w:textAlignment w:val="baseline"/>
        <w:rPr>
          <w:rFonts w:eastAsia="Times New Roman"/>
          <w:color w:val="000000"/>
          <w:sz w:val="24"/>
          <w:szCs w:val="24"/>
        </w:rPr>
      </w:pPr>
    </w:p>
    <w:p w14:paraId="5434E69C" w14:textId="0E5CA661" w:rsidR="008A46AE" w:rsidRDefault="003F3279" w:rsidP="00EC28CE">
      <w:pPr>
        <w:tabs>
          <w:tab w:val="left" w:pos="936"/>
        </w:tabs>
        <w:ind w:left="720" w:right="792" w:hanging="504"/>
        <w:textAlignment w:val="baseline"/>
        <w:rPr>
          <w:rFonts w:eastAsia="Times New Roman"/>
          <w:color w:val="000000"/>
          <w:sz w:val="24"/>
          <w:szCs w:val="24"/>
        </w:rPr>
      </w:pPr>
      <w:r w:rsidRPr="002E0974">
        <w:rPr>
          <w:rFonts w:eastAsia="Times New Roman"/>
          <w:color w:val="000000"/>
          <w:sz w:val="24"/>
          <w:szCs w:val="24"/>
        </w:rPr>
        <w:t>CC:</w:t>
      </w:r>
      <w:r w:rsidRPr="002E0974">
        <w:rPr>
          <w:rFonts w:eastAsia="Times New Roman"/>
          <w:color w:val="000000"/>
          <w:sz w:val="24"/>
          <w:szCs w:val="24"/>
        </w:rPr>
        <w:tab/>
      </w:r>
      <w:r w:rsidR="008A3E86" w:rsidRPr="002E0974">
        <w:rPr>
          <w:rFonts w:eastAsia="Times New Roman"/>
          <w:color w:val="000000"/>
          <w:sz w:val="24"/>
          <w:szCs w:val="24"/>
        </w:rPr>
        <w:t xml:space="preserve">Public Utility Commission of </w:t>
      </w:r>
      <w:r w:rsidR="000864AE">
        <w:rPr>
          <w:rFonts w:eastAsia="Times New Roman"/>
          <w:color w:val="000000"/>
          <w:sz w:val="24"/>
          <w:szCs w:val="24"/>
        </w:rPr>
        <w:t>Texas</w:t>
      </w:r>
      <w:r w:rsidR="008A3E86" w:rsidRPr="002E0974">
        <w:rPr>
          <w:rFonts w:eastAsia="Times New Roman"/>
          <w:color w:val="000000"/>
          <w:sz w:val="24"/>
          <w:szCs w:val="24"/>
        </w:rPr>
        <w:t xml:space="preserve"> </w:t>
      </w:r>
      <w:r w:rsidRPr="002E0974">
        <w:rPr>
          <w:rFonts w:eastAsia="Times New Roman"/>
          <w:color w:val="000000"/>
          <w:sz w:val="24"/>
          <w:szCs w:val="24"/>
        </w:rPr>
        <w:t>(Service Pursuant to 18 C.F.R</w:t>
      </w:r>
      <w:r w:rsidR="009B0824" w:rsidRPr="002E0974">
        <w:rPr>
          <w:rFonts w:eastAsia="Times New Roman"/>
          <w:color w:val="000000"/>
          <w:sz w:val="24"/>
          <w:szCs w:val="24"/>
        </w:rPr>
        <w:t>. §§ 366.7(a) and 385.2010)</w:t>
      </w:r>
      <w:r w:rsidR="00DD6598">
        <w:rPr>
          <w:rFonts w:eastAsia="Times New Roman"/>
          <w:color w:val="000000"/>
          <w:sz w:val="24"/>
          <w:szCs w:val="24"/>
        </w:rPr>
        <w:t xml:space="preserve">, for filing in PUCT Project No. 14406 </w:t>
      </w:r>
    </w:p>
    <w:p w14:paraId="0C7FC1D9" w14:textId="77777777" w:rsidR="008A46AE" w:rsidRDefault="008A46AE" w:rsidP="002E0974">
      <w:pPr>
        <w:tabs>
          <w:tab w:val="left" w:pos="936"/>
        </w:tabs>
        <w:ind w:left="216" w:right="792"/>
        <w:textAlignment w:val="baseline"/>
        <w:rPr>
          <w:rFonts w:eastAsia="Times New Roman"/>
          <w:color w:val="000000"/>
          <w:sz w:val="24"/>
          <w:szCs w:val="24"/>
        </w:rPr>
      </w:pPr>
    </w:p>
    <w:p w14:paraId="1C3C46C6" w14:textId="77777777" w:rsidR="008A46AE" w:rsidRPr="002E0974" w:rsidRDefault="008A46AE" w:rsidP="002E0974">
      <w:pPr>
        <w:tabs>
          <w:tab w:val="left" w:pos="936"/>
        </w:tabs>
        <w:ind w:left="216" w:right="792"/>
        <w:textAlignment w:val="baseline"/>
        <w:rPr>
          <w:rFonts w:eastAsia="Times New Roman"/>
          <w:color w:val="000000"/>
          <w:sz w:val="24"/>
          <w:szCs w:val="24"/>
        </w:rPr>
        <w:sectPr w:rsidR="008A46AE" w:rsidRPr="002E0974" w:rsidSect="008A46AE">
          <w:footerReference w:type="even" r:id="rId11"/>
          <w:footerReference w:type="default" r:id="rId12"/>
          <w:footerReference w:type="first" r:id="rId13"/>
          <w:pgSz w:w="12240" w:h="15840"/>
          <w:pgMar w:top="1440" w:right="1526" w:bottom="1440" w:left="1214" w:header="720" w:footer="720" w:gutter="0"/>
          <w:cols w:space="720"/>
        </w:sectPr>
      </w:pPr>
    </w:p>
    <w:p w14:paraId="4F73E276" w14:textId="1C4EDD31" w:rsidR="00A92A1B" w:rsidRPr="002E0974" w:rsidRDefault="00EC28CE" w:rsidP="002E0974">
      <w:pPr>
        <w:ind w:left="72"/>
        <w:textAlignment w:val="baseline"/>
        <w:rPr>
          <w:rFonts w:eastAsia="Tahoma"/>
          <w:b/>
          <w:color w:val="000000"/>
          <w:spacing w:val="-2"/>
          <w:sz w:val="24"/>
          <w:szCs w:val="24"/>
        </w:rPr>
      </w:pPr>
      <w:r>
        <w:rPr>
          <w:noProof/>
          <w:sz w:val="24"/>
          <w:szCs w:val="24"/>
        </w:rPr>
        <mc:AlternateContent>
          <mc:Choice Requires="wps">
            <w:drawing>
              <wp:anchor distT="0" distB="0" distL="0" distR="0" simplePos="0" relativeHeight="251657728" behindDoc="1" locked="0" layoutInCell="1" allowOverlap="1" wp14:anchorId="2BC39C1D" wp14:editId="2E195140">
                <wp:simplePos x="0" y="0"/>
                <wp:positionH relativeFrom="page">
                  <wp:posOffset>3804920</wp:posOffset>
                </wp:positionH>
                <wp:positionV relativeFrom="page">
                  <wp:posOffset>9428480</wp:posOffset>
                </wp:positionV>
                <wp:extent cx="156210" cy="175260"/>
                <wp:effectExtent l="0" t="0" r="0" b="0"/>
                <wp:wrapSquare wrapText="bothSides"/>
                <wp:docPr id="1" name="_x0000_s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0D95B6" w14:textId="77777777" w:rsidR="004904F1" w:rsidRDefault="004904F1">
                            <w:pPr>
                              <w:spacing w:before="3" w:line="269" w:lineRule="exact"/>
                              <w:jc w:val="center"/>
                              <w:textAlignment w:val="baseline"/>
                              <w:rPr>
                                <w:rFonts w:eastAsia="Times New Roman"/>
                                <w:color w:val="000000"/>
                                <w:sz w:val="24"/>
                              </w:rPr>
                            </w:pPr>
                            <w:r>
                              <w:rPr>
                                <w:rFonts w:eastAsia="Times New Roman"/>
                                <w:color w:val="000000"/>
                                <w:sz w:val="24"/>
                              </w:rPr>
                              <w:t>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C39C1D" id="_x0000_t202" coordsize="21600,21600" o:spt="202" path="m,l,21600r21600,l21600,xe">
                <v:stroke joinstyle="miter"/>
                <v:path gradientshapeok="t" o:connecttype="rect"/>
              </v:shapetype>
              <v:shape id="_x0000_s0" o:spid="_x0000_s1026" type="#_x0000_t202" style="position:absolute;left:0;text-align:left;margin-left:299.6pt;margin-top:742.4pt;width:12.3pt;height:13.8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" filled="f" stroked="f">
                <v:textbox inset="0,0,0,0">
                  <w:txbxContent>
                    <w:p w14:paraId="620D95B6" w14:textId="77777777" w:rsidR="004904F1" w:rsidRDefault="004904F1">
                      <w:pPr>
                        <w:spacing w:before="3" w:line="269" w:lineRule="exact"/>
                        <w:jc w:val="center"/>
                        <w:textAlignment w:val="baseline"/>
                        <w:rPr>
                          <w:rFonts w:eastAsia="Times New Roman"/>
                          <w:color w:val="000000"/>
                          <w:sz w:val="24"/>
                        </w:rPr>
                      </w:pPr>
                      <w:r>
                        <w:rPr>
                          <w:rFonts w:eastAsia="Times New Roman"/>
                          <w:color w:val="000000"/>
                          <w:sz w:val="24"/>
                        </w:rPr>
                        <w:t>5</w:t>
                      </w:r>
                    </w:p>
                  </w:txbxContent>
                </v:textbox>
                <w10:wrap type="square" anchorx="page" anchory="page"/>
              </v:shape>
            </w:pict>
          </mc:Fallback>
        </mc:AlternateContent>
      </w:r>
    </w:p>
    <w:sectPr w:rsidR="00A92A1B" w:rsidRPr="002E0974">
      <w:type w:val="continuous"/>
      <w:pgSz w:w="12240" w:h="15840"/>
      <w:pgMar w:top="1440" w:right="9461" w:bottom="304" w:left="121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C82AE" w14:textId="77777777" w:rsidR="00AC0465" w:rsidRDefault="00AC0465" w:rsidP="00C578E6">
      <w:r>
        <w:separator/>
      </w:r>
    </w:p>
  </w:endnote>
  <w:endnote w:type="continuationSeparator" w:id="0">
    <w:p w14:paraId="3873EE5C" w14:textId="77777777" w:rsidR="00AC0465" w:rsidRDefault="00AC0465" w:rsidP="00C57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ahoma">
    <w:charset w:val="00"/>
    <w:pitch w:val="variable"/>
    <w:family w:val="swiss"/>
    <w:panose1 w:val="02020603050405020304"/>
  </w:font>
  <w:font w:name="Times New Roman">
    <w:charset w:val="00"/>
    <w:pitch w:val="variable"/>
    <w:family w:val="roman"/>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1C1B0" w14:textId="6002B8EB" w:rsidR="00EC28CE" w:rsidRDefault="00AC0465" w:rsidP="00EC28CE">
    <w:pPr>
      <w:pStyle w:val="FooterReference"/>
    </w:pPr>
    <w:r>
      <w:fldChar w:fldCharType="begin"/>
    </w:r>
    <w:r>
      <w:instrText xml:space="preserve"> DOCVARIABLE #DNDocID \* MERGEFORMAT </w:instrText>
    </w:r>
    <w:r>
      <w:fldChar w:fldCharType="separate"/>
    </w:r>
    <w:r w:rsidR="00EC28CE">
      <w:t>752858390.1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B57CF" w14:textId="77777777" w:rsidR="004F7A79" w:rsidRDefault="004F7A79">
    <w:pPr>
      <w:pStyle w:val="Footer"/>
      <w:jc w:val="center"/>
    </w:pPr>
  </w:p>
  <w:p w14:paraId="34D485A7" w14:textId="6B2DCE5E" w:rsidR="004F7A79" w:rsidRDefault="00AC0465" w:rsidP="00EC28CE">
    <w:pPr>
      <w:pStyle w:val="FooterReference"/>
    </w:pPr>
    <w:r>
      <w:fldChar w:fldCharType="begin"/>
    </w:r>
    <w:r>
      <w:instrText xml:space="preserve"> DOCVARIABLE #DNDocID \* MERGEFORMAT </w:instrText>
    </w:r>
    <w:r>
      <w:fldChar w:fldCharType="separate"/>
    </w:r>
    <w:r w:rsidR="00EC28CE">
      <w:t>752858390.1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AA8CA" w14:textId="70804F21" w:rsidR="00EC28CE" w:rsidRDefault="00AC0465" w:rsidP="00EC28CE">
    <w:pPr>
      <w:pStyle w:val="FooterReference"/>
    </w:pPr>
    <w:r>
      <w:fldChar w:fldCharType="begin"/>
    </w:r>
    <w:r>
      <w:instrText xml:space="preserve"> DOCVARIABLE #DNDocID \* MERGEFORMAT </w:instrText>
    </w:r>
    <w:r>
      <w:fldChar w:fldCharType="separate"/>
    </w:r>
    <w:r w:rsidR="00EC28CE">
      <w:t>752858390.1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71E26" w14:textId="77777777" w:rsidR="00AC0465" w:rsidRDefault="00AC0465" w:rsidP="00C578E6">
      <w:r>
        <w:separator/>
      </w:r>
    </w:p>
  </w:footnote>
  <w:footnote w:type="continuationSeparator" w:id="0">
    <w:p w14:paraId="098C28A7" w14:textId="77777777" w:rsidR="00AC0465" w:rsidRDefault="00AC0465" w:rsidP="00C578E6">
      <w:r>
        <w:continuationSeparator/>
      </w:r>
    </w:p>
  </w:footnote>
  <w:footnote w:id="1">
    <w:p w14:paraId="6B1DFD39" w14:textId="77777777" w:rsidR="004904F1" w:rsidRPr="00C578E6" w:rsidRDefault="004904F1" w:rsidP="00C578E6">
      <w:pPr>
        <w:pStyle w:val="FootnoteText"/>
        <w:jc w:val="both"/>
      </w:pPr>
      <w:r w:rsidRPr="00C578E6">
        <w:rPr>
          <w:rStyle w:val="FootnoteReference"/>
        </w:rPr>
        <w:footnoteRef/>
      </w:r>
      <w:r w:rsidRPr="00C578E6">
        <w:t xml:space="preserve"> </w:t>
      </w:r>
      <w:proofErr w:type="spellStart"/>
      <w:r w:rsidRPr="00C578E6">
        <w:rPr>
          <w:rFonts w:eastAsia="Times New Roman"/>
          <w:color w:val="000000"/>
          <w:spacing w:val="-5"/>
        </w:rPr>
        <w:t>EPAct</w:t>
      </w:r>
      <w:proofErr w:type="spellEnd"/>
      <w:r w:rsidRPr="00C578E6">
        <w:rPr>
          <w:rFonts w:eastAsia="Times New Roman"/>
          <w:color w:val="000000"/>
          <w:spacing w:val="-5"/>
        </w:rPr>
        <w:t xml:space="preserve"> 2005, Pub. L. No. 109-58, 1261-80, 119 Stat. 594 (2005).</w:t>
      </w:r>
    </w:p>
  </w:footnote>
  <w:footnote w:id="2">
    <w:p w14:paraId="78885D0E" w14:textId="7BB9A818" w:rsidR="004904F1" w:rsidRPr="00BE435E" w:rsidRDefault="004904F1" w:rsidP="00C578E6">
      <w:pPr>
        <w:pStyle w:val="FootnoteText"/>
        <w:jc w:val="both"/>
      </w:pPr>
      <w:r w:rsidRPr="00C578E6">
        <w:rPr>
          <w:rStyle w:val="FootnoteReference"/>
        </w:rPr>
        <w:footnoteRef/>
      </w:r>
      <w:r w:rsidRPr="00C578E6">
        <w:t xml:space="preserve"> </w:t>
      </w:r>
      <w:r>
        <w:rPr>
          <w:rFonts w:eastAsia="Times New Roman"/>
          <w:color w:val="000000"/>
          <w:spacing w:val="-7"/>
        </w:rPr>
        <w:t>18 C.F.R. § 366.7</w:t>
      </w:r>
      <w:r w:rsidRPr="00C578E6">
        <w:rPr>
          <w:rFonts w:eastAsia="Times New Roman"/>
          <w:color w:val="000000"/>
          <w:spacing w:val="-7"/>
        </w:rPr>
        <w:t>.</w:t>
      </w:r>
    </w:p>
  </w:footnote>
  <w:footnote w:id="3">
    <w:p w14:paraId="20FD15EB" w14:textId="17D22485" w:rsidR="00FB24F8" w:rsidRPr="00BE435E" w:rsidRDefault="00FB24F8" w:rsidP="00BE435E">
      <w:pPr>
        <w:pStyle w:val="Default"/>
        <w:jc w:val="both"/>
        <w:rPr>
          <w:rFonts w:ascii="Times New Roman" w:hAnsi="Times New Roman" w:cs="Times New Roman"/>
          <w:sz w:val="20"/>
          <w:szCs w:val="20"/>
        </w:rPr>
      </w:pPr>
      <w:r w:rsidRPr="00BE435E">
        <w:rPr>
          <w:rStyle w:val="FootnoteReference"/>
          <w:rFonts w:ascii="Times New Roman" w:hAnsi="Times New Roman" w:cs="Times New Roman"/>
          <w:sz w:val="20"/>
          <w:szCs w:val="20"/>
        </w:rPr>
        <w:footnoteRef/>
      </w:r>
      <w:r w:rsidRPr="00BE435E">
        <w:rPr>
          <w:rFonts w:ascii="Times New Roman" w:hAnsi="Times New Roman" w:cs="Times New Roman"/>
          <w:sz w:val="20"/>
          <w:szCs w:val="20"/>
        </w:rPr>
        <w:t xml:space="preserve"> The Facility is considered an “Eligible Facility” under PUHCA because it will be </w:t>
      </w:r>
      <w:r w:rsidR="004A035A">
        <w:rPr>
          <w:rFonts w:ascii="Times New Roman" w:hAnsi="Times New Roman" w:cs="Times New Roman"/>
          <w:sz w:val="20"/>
          <w:szCs w:val="20"/>
        </w:rPr>
        <w:t xml:space="preserve">an </w:t>
      </w:r>
      <w:r w:rsidRPr="00BE435E">
        <w:rPr>
          <w:rFonts w:ascii="Times New Roman" w:hAnsi="Times New Roman" w:cs="Times New Roman"/>
          <w:sz w:val="20"/>
          <w:szCs w:val="20"/>
        </w:rPr>
        <w:t xml:space="preserve">electric storage device that will be used for the sale at wholesale of power and/or ancillary services. </w:t>
      </w:r>
      <w:r w:rsidRPr="00BE435E">
        <w:rPr>
          <w:rFonts w:ascii="Times New Roman" w:hAnsi="Times New Roman" w:cs="Times New Roman"/>
          <w:i/>
          <w:iCs/>
          <w:sz w:val="20"/>
          <w:szCs w:val="20"/>
        </w:rPr>
        <w:t>See AES ES Westover, LLC</w:t>
      </w:r>
      <w:r w:rsidRPr="00BE435E">
        <w:rPr>
          <w:rFonts w:ascii="Times New Roman" w:hAnsi="Times New Roman" w:cs="Times New Roman"/>
          <w:sz w:val="20"/>
          <w:szCs w:val="20"/>
        </w:rPr>
        <w:t xml:space="preserve">, 131 FERC ¶ 61,008, at PP 2, 7 (2010) (finding that an energy storage unit used for wholesale sales including ancillary services qualified as an “Eligible Facility” and its owner an EWG); </w:t>
      </w:r>
      <w:r w:rsidRPr="00BE435E">
        <w:rPr>
          <w:rFonts w:ascii="Times New Roman" w:hAnsi="Times New Roman" w:cs="Times New Roman"/>
          <w:i/>
          <w:iCs/>
          <w:sz w:val="20"/>
          <w:szCs w:val="20"/>
        </w:rPr>
        <w:t>see also AES Laurel Mountain LLC</w:t>
      </w:r>
      <w:r w:rsidRPr="00BE435E">
        <w:rPr>
          <w:rFonts w:ascii="Times New Roman" w:hAnsi="Times New Roman" w:cs="Times New Roman"/>
          <w:sz w:val="20"/>
          <w:szCs w:val="20"/>
        </w:rPr>
        <w:t xml:space="preserve">, Docket No. EG11-10-000, “Notice of Self-Certification as an Exempt Wholesale Generator” (Nov. 9, 2010) and “Notice of Effectiveness of EWG Status” (Feb. 14, 2011) (EWG status granted to a company owning energy storage facilities for wholesale power and ancillary service sales); </w:t>
      </w:r>
      <w:r w:rsidRPr="00BE435E">
        <w:rPr>
          <w:rFonts w:ascii="Times New Roman" w:hAnsi="Times New Roman" w:cs="Times New Roman"/>
          <w:i/>
          <w:iCs/>
          <w:sz w:val="20"/>
          <w:szCs w:val="20"/>
        </w:rPr>
        <w:t>Grand Ridge Energy IV LLC</w:t>
      </w:r>
      <w:r w:rsidRPr="00BE435E">
        <w:rPr>
          <w:rFonts w:ascii="Times New Roman" w:hAnsi="Times New Roman" w:cs="Times New Roman"/>
          <w:sz w:val="20"/>
          <w:szCs w:val="20"/>
        </w:rPr>
        <w:t>, Docket No. EG13-10-000, “Notice of Self- Certification of Exempt Wholesale Generator Status” (Nov. 13, 2012) and “Notice of Effectiveness of EWG Status” (Feb. 8, 2013) (EWG status granted to a company owning energy storage facilities for wholesale power and ancillary service sales)</w:t>
      </w:r>
      <w:r w:rsidR="00BE435E" w:rsidRPr="00BE435E">
        <w:rPr>
          <w:rFonts w:ascii="Times New Roman" w:hAnsi="Times New Roman" w:cs="Times New Roman"/>
          <w:sz w:val="20"/>
          <w:szCs w:val="20"/>
        </w:rPr>
        <w:t xml:space="preserve">; </w:t>
      </w:r>
      <w:r w:rsidR="00BE435E" w:rsidRPr="00BE435E">
        <w:rPr>
          <w:rFonts w:ascii="Times New Roman" w:hAnsi="Times New Roman" w:cs="Times New Roman"/>
          <w:i/>
          <w:iCs/>
          <w:sz w:val="20"/>
          <w:szCs w:val="20"/>
        </w:rPr>
        <w:t>Battery Utility of Ohio, LLC</w:t>
      </w:r>
      <w:r w:rsidR="00BE435E" w:rsidRPr="00BE435E">
        <w:rPr>
          <w:rFonts w:ascii="Times New Roman" w:hAnsi="Times New Roman" w:cs="Times New Roman"/>
          <w:sz w:val="20"/>
          <w:szCs w:val="20"/>
        </w:rPr>
        <w:t>, Docket No. EG13-43</w:t>
      </w:r>
      <w:r w:rsidR="00BE435E">
        <w:rPr>
          <w:rFonts w:ascii="Times New Roman" w:hAnsi="Times New Roman" w:cs="Times New Roman"/>
          <w:sz w:val="20"/>
          <w:szCs w:val="20"/>
        </w:rPr>
        <w:t xml:space="preserve">-000 </w:t>
      </w:r>
      <w:r w:rsidR="00BE435E" w:rsidRPr="00BE435E">
        <w:rPr>
          <w:rFonts w:ascii="Times New Roman" w:hAnsi="Times New Roman" w:cs="Times New Roman"/>
          <w:sz w:val="20"/>
          <w:szCs w:val="20"/>
        </w:rPr>
        <w:t>, “Notice of Self- Certification of Exempt Wholesale Generator Status” (</w:t>
      </w:r>
      <w:r w:rsidR="00BE435E">
        <w:rPr>
          <w:rFonts w:ascii="Times New Roman" w:hAnsi="Times New Roman" w:cs="Times New Roman"/>
          <w:sz w:val="20"/>
          <w:szCs w:val="20"/>
        </w:rPr>
        <w:t>June 11, 2013</w:t>
      </w:r>
      <w:r w:rsidR="00BE435E" w:rsidRPr="00BE435E">
        <w:rPr>
          <w:rFonts w:ascii="Times New Roman" w:hAnsi="Times New Roman" w:cs="Times New Roman"/>
          <w:sz w:val="20"/>
          <w:szCs w:val="20"/>
        </w:rPr>
        <w:t>) and “Notice of Effectiveness of EWG Status” (</w:t>
      </w:r>
      <w:r w:rsidR="00BE435E">
        <w:rPr>
          <w:rFonts w:ascii="Times New Roman" w:hAnsi="Times New Roman" w:cs="Times New Roman"/>
          <w:sz w:val="20"/>
          <w:szCs w:val="20"/>
        </w:rPr>
        <w:t>Sept. 23</w:t>
      </w:r>
      <w:r w:rsidR="00BE435E" w:rsidRPr="00BE435E">
        <w:rPr>
          <w:rFonts w:ascii="Times New Roman" w:hAnsi="Times New Roman" w:cs="Times New Roman"/>
          <w:sz w:val="20"/>
          <w:szCs w:val="20"/>
        </w:rPr>
        <w:t>, 2013) (EWG status granted to a company owning energy storage facilit</w:t>
      </w:r>
      <w:r w:rsidR="00BE435E">
        <w:rPr>
          <w:rFonts w:ascii="Times New Roman" w:hAnsi="Times New Roman" w:cs="Times New Roman"/>
          <w:sz w:val="20"/>
          <w:szCs w:val="20"/>
        </w:rPr>
        <w:t>y</w:t>
      </w:r>
      <w:r w:rsidR="00BE435E" w:rsidRPr="00BE435E">
        <w:rPr>
          <w:rFonts w:ascii="Times New Roman" w:hAnsi="Times New Roman" w:cs="Times New Roman"/>
          <w:sz w:val="20"/>
          <w:szCs w:val="20"/>
        </w:rPr>
        <w:t xml:space="preserve"> for wholesale power and ancillary service sales)</w:t>
      </w:r>
      <w:r w:rsidRPr="00BE435E">
        <w:rPr>
          <w:rFonts w:ascii="Times New Roman" w:hAnsi="Times New Roman" w:cs="Times New Roman"/>
          <w:sz w:val="20"/>
          <w:szCs w:val="20"/>
        </w:rPr>
        <w:t xml:space="preserve">.  </w:t>
      </w:r>
    </w:p>
  </w:footnote>
  <w:footnote w:id="4">
    <w:p w14:paraId="2266CAEA" w14:textId="3FEC63D9" w:rsidR="004904F1" w:rsidRPr="00BE435E" w:rsidRDefault="004904F1">
      <w:pPr>
        <w:pStyle w:val="FootnoteText"/>
      </w:pPr>
      <w:r w:rsidRPr="00BE435E">
        <w:rPr>
          <w:rStyle w:val="FootnoteReference"/>
        </w:rPr>
        <w:footnoteRef/>
      </w:r>
      <w:r w:rsidRPr="00BE435E">
        <w:t xml:space="preserve"> The Applicant is not a public utility under the Federal Power Act, as amended.  </w:t>
      </w:r>
      <w:r w:rsidR="004A035A">
        <w:t xml:space="preserve">The Eligible Facility’s electrical output will be delivered into the ERCOT market, exclusively within Texas.  </w:t>
      </w:r>
    </w:p>
  </w:footnote>
  <w:footnote w:id="5">
    <w:p w14:paraId="2F14ACF6" w14:textId="77777777" w:rsidR="004904F1" w:rsidRPr="00BE435E" w:rsidRDefault="004904F1">
      <w:pPr>
        <w:pStyle w:val="FootnoteText"/>
      </w:pPr>
      <w:r w:rsidRPr="00BE435E">
        <w:rPr>
          <w:rStyle w:val="FootnoteReference"/>
        </w:rPr>
        <w:footnoteRef/>
      </w:r>
      <w:r w:rsidRPr="00BE435E">
        <w:t xml:space="preserve"> See 18 C.F.R. §§ 366.7 and 366.1. Section 366.1 incorporates Sections 32(a)(2) through (4), and Sections 32(b) through (d) of the Public Utility Holding Company Act of 1935, 15 U.S.C. §§ 79z-5a(a)(2)-(4), 79z-5b(b)-(d) (“PUHCA 1935”), for the purposes of establishing or determining whether an entity qualifies for EWG status.</w:t>
      </w:r>
    </w:p>
  </w:footnote>
  <w:footnote w:id="6">
    <w:p w14:paraId="473C21AC" w14:textId="77777777" w:rsidR="004904F1" w:rsidRDefault="004904F1">
      <w:pPr>
        <w:pStyle w:val="FootnoteText"/>
      </w:pPr>
      <w:r w:rsidRPr="00BE435E">
        <w:rPr>
          <w:rStyle w:val="FootnoteReference"/>
        </w:rPr>
        <w:footnoteRef/>
      </w:r>
      <w:r w:rsidRPr="00BE435E">
        <w:t xml:space="preserve"> See, e.g., Entergy Power Mktg. Corp., 73 FERC ¶ 61,063 (1995) and LG</w:t>
      </w:r>
      <w:r w:rsidRPr="004904F1">
        <w:t>&amp;E Power Mktg., Inc., 67 FERC ¶ 61,083 (1994).</w:t>
      </w:r>
    </w:p>
  </w:footnote>
  <w:footnote w:id="7">
    <w:p w14:paraId="68E4A830" w14:textId="77777777" w:rsidR="00B66430" w:rsidRDefault="00B66430">
      <w:pPr>
        <w:pStyle w:val="FootnoteText"/>
      </w:pPr>
      <w:r>
        <w:rPr>
          <w:rStyle w:val="FootnoteReference"/>
        </w:rPr>
        <w:footnoteRef/>
      </w:r>
      <w:r>
        <w:t xml:space="preserve"> </w:t>
      </w:r>
      <w:r w:rsidRPr="004904F1">
        <w:t xml:space="preserve">See, e.g., Duke Energy Oakland, LLC, 83 FERC ¶ 61,304 (1998) and </w:t>
      </w:r>
      <w:proofErr w:type="spellStart"/>
      <w:r w:rsidRPr="004904F1">
        <w:t>Sithe</w:t>
      </w:r>
      <w:proofErr w:type="spellEnd"/>
      <w:r w:rsidRPr="004904F1">
        <w:t xml:space="preserve"> Framingham LLC, et al., 83 FERC¶ 61,106 (1998).</w:t>
      </w:r>
      <w:r>
        <w:t xml:space="preserve"> </w:t>
      </w:r>
    </w:p>
  </w:footnote>
  <w:footnote w:id="8">
    <w:p w14:paraId="27151813" w14:textId="77777777" w:rsidR="00B66430" w:rsidRDefault="00B66430">
      <w:pPr>
        <w:pStyle w:val="FootnoteText"/>
      </w:pPr>
      <w:r>
        <w:rPr>
          <w:rStyle w:val="FootnoteReference"/>
        </w:rPr>
        <w:footnoteRef/>
      </w:r>
      <w:r>
        <w:t xml:space="preserve"> </w:t>
      </w:r>
      <w:r w:rsidRPr="004904F1">
        <w:t xml:space="preserve">See e.g., </w:t>
      </w:r>
      <w:proofErr w:type="spellStart"/>
      <w:r w:rsidRPr="004904F1">
        <w:t>Sithe</w:t>
      </w:r>
      <w:proofErr w:type="spellEnd"/>
      <w:r w:rsidRPr="004904F1">
        <w:t>/</w:t>
      </w:r>
      <w:proofErr w:type="spellStart"/>
      <w:r w:rsidRPr="004904F1">
        <w:t>Indep</w:t>
      </w:r>
      <w:proofErr w:type="spellEnd"/>
      <w:r w:rsidRPr="004904F1">
        <w:t>. Power Partners, L.P., 101 FERC ¶ 61,287, at P 6 n.4 (2002) (citing TXU (No. 5) Pty. Ltd., 92 FERC ¶ 61,170 (2000)).</w:t>
      </w:r>
      <w:r>
        <w:t xml:space="preserve"> </w:t>
      </w:r>
    </w:p>
  </w:footnote>
  <w:footnote w:id="9">
    <w:p w14:paraId="6F49542F" w14:textId="77777777" w:rsidR="004904F1" w:rsidRDefault="004904F1">
      <w:pPr>
        <w:pStyle w:val="FootnoteText"/>
      </w:pPr>
      <w:r>
        <w:rPr>
          <w:rStyle w:val="FootnoteReference"/>
        </w:rPr>
        <w:footnoteRef/>
      </w:r>
      <w:r>
        <w:t xml:space="preserve"> </w:t>
      </w:r>
      <w:r w:rsidRPr="004904F1">
        <w:t>See Richmond Power Enter., L.P. et al., 62 FERC ¶ 61,157 (1993).</w:t>
      </w:r>
    </w:p>
  </w:footnote>
  <w:footnote w:id="10">
    <w:p w14:paraId="6B2F939F" w14:textId="77777777" w:rsidR="004904F1" w:rsidRDefault="004904F1">
      <w:pPr>
        <w:pStyle w:val="FootnoteText"/>
      </w:pPr>
      <w:r>
        <w:rPr>
          <w:rStyle w:val="FootnoteReference"/>
        </w:rPr>
        <w:footnoteRef/>
      </w:r>
      <w:r>
        <w:t xml:space="preserve"> </w:t>
      </w:r>
      <w:r w:rsidRPr="004904F1">
        <w:t>See CNG Power Serv. Corp., 71 FERC ¶ 61,026, at pp. 61,103‐104 (1995).</w:t>
      </w:r>
    </w:p>
  </w:footnote>
  <w:footnote w:id="11">
    <w:p w14:paraId="1B3F210B" w14:textId="77777777" w:rsidR="004904F1" w:rsidRDefault="004904F1">
      <w:pPr>
        <w:pStyle w:val="FootnoteText"/>
      </w:pPr>
      <w:r>
        <w:rPr>
          <w:rStyle w:val="FootnoteReference"/>
        </w:rPr>
        <w:footnoteRef/>
      </w:r>
      <w:r>
        <w:t xml:space="preserve"> </w:t>
      </w:r>
      <w:r w:rsidRPr="004904F1">
        <w:t xml:space="preserve">See e.g., id. and </w:t>
      </w:r>
      <w:proofErr w:type="spellStart"/>
      <w:r w:rsidRPr="004904F1">
        <w:t>Compañia</w:t>
      </w:r>
      <w:proofErr w:type="spellEnd"/>
      <w:r w:rsidRPr="004904F1">
        <w:t xml:space="preserve"> </w:t>
      </w:r>
      <w:proofErr w:type="spellStart"/>
      <w:r w:rsidRPr="004904F1">
        <w:t>Hidroeléctrica</w:t>
      </w:r>
      <w:proofErr w:type="spellEnd"/>
      <w:r w:rsidRPr="004904F1">
        <w:t xml:space="preserve"> Doña Julia S. De R.L., 85 FERC ¶ 61,336 (1998).</w:t>
      </w:r>
    </w:p>
  </w:footnote>
  <w:footnote w:id="12">
    <w:p w14:paraId="5FE35439" w14:textId="77777777" w:rsidR="004904F1" w:rsidRDefault="004904F1">
      <w:pPr>
        <w:pStyle w:val="FootnoteText"/>
      </w:pPr>
      <w:r>
        <w:rPr>
          <w:rStyle w:val="FootnoteReference"/>
        </w:rPr>
        <w:footnoteRef/>
      </w:r>
      <w:r>
        <w:t xml:space="preserve"> </w:t>
      </w:r>
      <w:r w:rsidRPr="004904F1">
        <w:t>See Duquesne Power, L.P., 106 FERC ¶ 61,104 (2004).</w:t>
      </w:r>
    </w:p>
  </w:footnote>
  <w:footnote w:id="13">
    <w:p w14:paraId="2F22F583" w14:textId="77777777" w:rsidR="004904F1" w:rsidRDefault="004904F1">
      <w:pPr>
        <w:pStyle w:val="FootnoteText"/>
      </w:pPr>
      <w:r>
        <w:rPr>
          <w:rStyle w:val="FootnoteReference"/>
        </w:rPr>
        <w:footnoteRef/>
      </w:r>
      <w:r>
        <w:t xml:space="preserve"> </w:t>
      </w:r>
      <w:r w:rsidRPr="004904F1">
        <w:t>See CNG Power Serv. Corp., 71 FERC ¶ 61,378 (1995) and Southern Energy Mktg., Inc., 71 FERC ¶ 61,376 (1995).</w:t>
      </w:r>
    </w:p>
  </w:footnote>
  <w:footnote w:id="14">
    <w:p w14:paraId="6B315E28" w14:textId="77777777" w:rsidR="004904F1" w:rsidRDefault="004904F1">
      <w:pPr>
        <w:pStyle w:val="FootnoteText"/>
      </w:pPr>
      <w:r>
        <w:rPr>
          <w:rStyle w:val="FootnoteReference"/>
        </w:rPr>
        <w:footnoteRef/>
      </w:r>
      <w:r>
        <w:t xml:space="preserve"> </w:t>
      </w:r>
      <w:r w:rsidRPr="004904F1">
        <w:t>See UGI Dev. Co., 89 FERC ¶ 61,192 (1999).</w:t>
      </w:r>
    </w:p>
  </w:footnote>
  <w:footnote w:id="15">
    <w:p w14:paraId="5FF60DE1" w14:textId="77777777" w:rsidR="004904F1" w:rsidRDefault="004904F1">
      <w:pPr>
        <w:pStyle w:val="FootnoteText"/>
      </w:pPr>
      <w:r>
        <w:rPr>
          <w:rStyle w:val="FootnoteReference"/>
        </w:rPr>
        <w:footnoteRef/>
      </w:r>
      <w:r>
        <w:t xml:space="preserve"> </w:t>
      </w:r>
      <w:r w:rsidRPr="004904F1">
        <w:t xml:space="preserve">See Madison </w:t>
      </w:r>
      <w:proofErr w:type="spellStart"/>
      <w:r w:rsidRPr="004904F1">
        <w:t>Windpower</w:t>
      </w:r>
      <w:proofErr w:type="spellEnd"/>
      <w:r w:rsidRPr="004904F1">
        <w:t>, LLC, 93 FERC ¶ 61,270 (2000).</w:t>
      </w:r>
    </w:p>
  </w:footnote>
  <w:footnote w:id="16">
    <w:p w14:paraId="7D7F598F" w14:textId="77777777" w:rsidR="004904F1" w:rsidRDefault="004904F1">
      <w:pPr>
        <w:pStyle w:val="FootnoteText"/>
      </w:pPr>
      <w:r>
        <w:rPr>
          <w:rStyle w:val="FootnoteReference"/>
        </w:rPr>
        <w:footnoteRef/>
      </w:r>
      <w:r>
        <w:t xml:space="preserve"> </w:t>
      </w:r>
      <w:r w:rsidRPr="004904F1">
        <w:t>See e.g., Blue Spruce Energy Ctr., LLC, 105 FERC ¶ 61,059 (2003).</w:t>
      </w:r>
    </w:p>
  </w:footnote>
  <w:footnote w:id="17">
    <w:p w14:paraId="199BC793" w14:textId="77777777" w:rsidR="004904F1" w:rsidRDefault="004904F1">
      <w:pPr>
        <w:pStyle w:val="FootnoteText"/>
      </w:pPr>
      <w:r>
        <w:rPr>
          <w:rStyle w:val="FootnoteReference"/>
        </w:rPr>
        <w:footnoteRef/>
      </w:r>
      <w:r>
        <w:t xml:space="preserve"> </w:t>
      </w:r>
      <w:r w:rsidRPr="004904F1">
        <w:t xml:space="preserve">See e.g., AEP Res., Project Mgmt. Co., 74 FERC ¶ 61,202 (1996); Southern Elec. Wholesale Generators, Inc., 66 FERC ¶ 61,264 (1994) and </w:t>
      </w:r>
      <w:proofErr w:type="spellStart"/>
      <w:r w:rsidRPr="004904F1">
        <w:t>Empresa</w:t>
      </w:r>
      <w:proofErr w:type="spellEnd"/>
      <w:r w:rsidRPr="004904F1">
        <w:t xml:space="preserve"> Valle </w:t>
      </w:r>
      <w:proofErr w:type="spellStart"/>
      <w:r w:rsidRPr="004904F1">
        <w:t>Hermoso</w:t>
      </w:r>
      <w:proofErr w:type="spellEnd"/>
      <w:r w:rsidRPr="004904F1">
        <w:t>, S.A., 72 FERC ¶ 61,306 at p. 62,288 (1995).</w:t>
      </w:r>
    </w:p>
  </w:footnote>
  <w:footnote w:id="18">
    <w:p w14:paraId="0844195D" w14:textId="77777777" w:rsidR="004904F1" w:rsidRDefault="004904F1">
      <w:pPr>
        <w:pStyle w:val="FootnoteText"/>
      </w:pPr>
      <w:r>
        <w:rPr>
          <w:rStyle w:val="FootnoteReference"/>
        </w:rPr>
        <w:footnoteRef/>
      </w:r>
      <w:r>
        <w:t xml:space="preserve"> </w:t>
      </w:r>
      <w:r w:rsidRPr="004904F1">
        <w:t>See, e.g., Duke Energy Hot Spring, LLC, 98 FERC ¶ 61,287 (2002).</w:t>
      </w:r>
    </w:p>
  </w:footnote>
  <w:footnote w:id="19">
    <w:p w14:paraId="378DB8C9" w14:textId="77777777" w:rsidR="000864AE" w:rsidRDefault="000864AE">
      <w:pPr>
        <w:pStyle w:val="FootnoteText"/>
      </w:pPr>
      <w:r>
        <w:rPr>
          <w:rStyle w:val="FootnoteReference"/>
        </w:rPr>
        <w:footnoteRef/>
      </w:r>
      <w:r>
        <w:t xml:space="preserve"> </w:t>
      </w:r>
      <w:r w:rsidRPr="000864AE">
        <w:t>See Hardee Power Partners, Ltd., 104 FERC ¶ 61,327 at P 11 (2003).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FB6F7C"/>
    <w:multiLevelType w:val="multilevel"/>
    <w:tmpl w:val="7444F414"/>
    <w:lvl w:ilvl="0">
      <w:start w:val="5"/>
      <w:numFmt w:val="decimal"/>
      <w:lvlText w:val="%1."/>
      <w:lvlJc w:val="left"/>
      <w:pPr>
        <w:tabs>
          <w:tab w:val="left" w:pos="360"/>
        </w:tabs>
      </w:pPr>
      <w:rPr>
        <w:rFonts w:ascii="Times New Roman" w:eastAsia="Times New Roman" w:hAnsi="Times New Roman"/>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D4148FA"/>
    <w:multiLevelType w:val="multilevel"/>
    <w:tmpl w:val="C7BE3BF4"/>
    <w:lvl w:ilvl="0">
      <w:start w:val="1"/>
      <w:numFmt w:val="upperRoman"/>
      <w:lvlText w:val="%1."/>
      <w:lvlJc w:val="left"/>
      <w:pPr>
        <w:tabs>
          <w:tab w:val="left" w:pos="792"/>
        </w:tabs>
      </w:pPr>
      <w:rPr>
        <w:rFonts w:ascii="Times New Roman" w:eastAsia="Times New Roman" w:hAnsi="Times New Roman"/>
        <w:b/>
        <w:color w:val="000000"/>
        <w:spacing w:val="-1"/>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DC62F3A"/>
    <w:multiLevelType w:val="multilevel"/>
    <w:tmpl w:val="FB081952"/>
    <w:lvl w:ilvl="0">
      <w:start w:val="1"/>
      <w:numFmt w:val="lowerLetter"/>
      <w:lvlText w:val="%1."/>
      <w:lvlJc w:val="left"/>
      <w:pPr>
        <w:tabs>
          <w:tab w:val="left" w:pos="360"/>
        </w:tabs>
      </w:pPr>
      <w:rPr>
        <w:rFonts w:ascii="Times New Roman" w:eastAsia="Times New Roman" w:hAnsi="Times New Roman"/>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A10048C"/>
    <w:multiLevelType w:val="multilevel"/>
    <w:tmpl w:val="1B561364"/>
    <w:lvl w:ilvl="0">
      <w:start w:val="1"/>
      <w:numFmt w:val="decimal"/>
      <w:lvlText w:val="%1."/>
      <w:lvlJc w:val="left"/>
      <w:pPr>
        <w:tabs>
          <w:tab w:val="left" w:pos="360"/>
        </w:tabs>
      </w:pPr>
      <w:rPr>
        <w:rFonts w:ascii="Times New Roman" w:eastAsia="Times New Roman" w:hAnsi="Times New Roman"/>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83A6D1B"/>
    <w:multiLevelType w:val="multilevel"/>
    <w:tmpl w:val="02B4080E"/>
    <w:lvl w:ilvl="0">
      <w:start w:val="10"/>
      <w:numFmt w:val="lowerLetter"/>
      <w:lvlText w:val="%1."/>
      <w:lvlJc w:val="left"/>
      <w:pPr>
        <w:tabs>
          <w:tab w:val="left" w:pos="360"/>
        </w:tabs>
      </w:pPr>
      <w:rPr>
        <w:rFonts w:ascii="Times New Roman" w:eastAsia="Times New Roman" w:hAnsi="Times New Roman"/>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38814595">
    <w:abstractNumId w:val="1"/>
  </w:num>
  <w:num w:numId="2" w16cid:durableId="540677026">
    <w:abstractNumId w:val="3"/>
  </w:num>
  <w:num w:numId="3" w16cid:durableId="2056346106">
    <w:abstractNumId w:val="0"/>
  </w:num>
  <w:num w:numId="4" w16cid:durableId="591161537">
    <w:abstractNumId w:val="2"/>
  </w:num>
  <w:num w:numId="5" w16cid:durableId="4269253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NDocID" w:val="752858390.1"/>
    <w:docVar w:name="CurrentReferenceFormat" w:val="[DocumentNumber].[DocumentVersion]"/>
    <w:docVar w:name="imProfileCustom1Description" w:val="Ares Management LLC"/>
    <w:docVar w:name="imProfileCustom2" w:val="21693045"/>
    <w:docVar w:name="imProfileCustom2Description" w:val="Ares - Apex"/>
    <w:docVar w:name="imProfileDatabase" w:val="AMECURRENT"/>
    <w:docVar w:name="imProfileDocNum" w:val="752858390"/>
    <w:docVar w:name="imProfileLastSavedTime" w:val="24-Mar-23 09:56"/>
    <w:docVar w:name="imProfileVersion" w:val="1"/>
  </w:docVars>
  <w:rsids>
    <w:rsidRoot w:val="00A92A1B"/>
    <w:rsid w:val="00074692"/>
    <w:rsid w:val="000864AE"/>
    <w:rsid w:val="00211655"/>
    <w:rsid w:val="002C0C5F"/>
    <w:rsid w:val="002E0974"/>
    <w:rsid w:val="00337BCA"/>
    <w:rsid w:val="003F3279"/>
    <w:rsid w:val="004904F1"/>
    <w:rsid w:val="004A035A"/>
    <w:rsid w:val="004C064F"/>
    <w:rsid w:val="004F7A79"/>
    <w:rsid w:val="005C322F"/>
    <w:rsid w:val="005E264F"/>
    <w:rsid w:val="007422F8"/>
    <w:rsid w:val="008631AC"/>
    <w:rsid w:val="008A3E86"/>
    <w:rsid w:val="008A46AE"/>
    <w:rsid w:val="008F1841"/>
    <w:rsid w:val="009B0824"/>
    <w:rsid w:val="00A8653F"/>
    <w:rsid w:val="00A92A1B"/>
    <w:rsid w:val="00AC0465"/>
    <w:rsid w:val="00B64511"/>
    <w:rsid w:val="00B65B1B"/>
    <w:rsid w:val="00B66430"/>
    <w:rsid w:val="00B7306D"/>
    <w:rsid w:val="00BE435E"/>
    <w:rsid w:val="00C15812"/>
    <w:rsid w:val="00C578E6"/>
    <w:rsid w:val="00D848B2"/>
    <w:rsid w:val="00DD6598"/>
    <w:rsid w:val="00EC28CE"/>
    <w:rsid w:val="00EC7A72"/>
    <w:rsid w:val="00F145EC"/>
    <w:rsid w:val="00FB24F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C0B7DF"/>
  <w15:docId w15:val="{C30951E6-0AD3-4F39-872C-ADEE66D1E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78E6"/>
    <w:pPr>
      <w:tabs>
        <w:tab w:val="center" w:pos="4680"/>
        <w:tab w:val="right" w:pos="9360"/>
      </w:tabs>
    </w:pPr>
  </w:style>
  <w:style w:type="character" w:customStyle="1" w:styleId="HeaderChar">
    <w:name w:val="Header Char"/>
    <w:basedOn w:val="DefaultParagraphFont"/>
    <w:link w:val="Header"/>
    <w:uiPriority w:val="99"/>
    <w:rsid w:val="00C578E6"/>
  </w:style>
  <w:style w:type="paragraph" w:styleId="Footer">
    <w:name w:val="footer"/>
    <w:basedOn w:val="Normal"/>
    <w:link w:val="FooterChar"/>
    <w:uiPriority w:val="99"/>
    <w:unhideWhenUsed/>
    <w:rsid w:val="00C578E6"/>
    <w:pPr>
      <w:tabs>
        <w:tab w:val="center" w:pos="4680"/>
        <w:tab w:val="right" w:pos="9360"/>
      </w:tabs>
    </w:pPr>
  </w:style>
  <w:style w:type="character" w:customStyle="1" w:styleId="FooterChar">
    <w:name w:val="Footer Char"/>
    <w:basedOn w:val="DefaultParagraphFont"/>
    <w:link w:val="Footer"/>
    <w:uiPriority w:val="99"/>
    <w:rsid w:val="00C578E6"/>
  </w:style>
  <w:style w:type="paragraph" w:styleId="FootnoteText">
    <w:name w:val="footnote text"/>
    <w:basedOn w:val="Normal"/>
    <w:link w:val="FootnoteTextChar"/>
    <w:uiPriority w:val="99"/>
    <w:semiHidden/>
    <w:unhideWhenUsed/>
    <w:rsid w:val="00C578E6"/>
    <w:rPr>
      <w:sz w:val="20"/>
      <w:szCs w:val="20"/>
    </w:rPr>
  </w:style>
  <w:style w:type="character" w:customStyle="1" w:styleId="FootnoteTextChar">
    <w:name w:val="Footnote Text Char"/>
    <w:basedOn w:val="DefaultParagraphFont"/>
    <w:link w:val="FootnoteText"/>
    <w:uiPriority w:val="99"/>
    <w:semiHidden/>
    <w:rsid w:val="00C578E6"/>
    <w:rPr>
      <w:sz w:val="20"/>
      <w:szCs w:val="20"/>
    </w:rPr>
  </w:style>
  <w:style w:type="character" w:styleId="FootnoteReference">
    <w:name w:val="footnote reference"/>
    <w:basedOn w:val="DefaultParagraphFont"/>
    <w:uiPriority w:val="99"/>
    <w:semiHidden/>
    <w:unhideWhenUsed/>
    <w:rsid w:val="00C578E6"/>
    <w:rPr>
      <w:vertAlign w:val="superscript"/>
    </w:rPr>
  </w:style>
  <w:style w:type="character" w:styleId="Hyperlink">
    <w:name w:val="Hyperlink"/>
    <w:basedOn w:val="DefaultParagraphFont"/>
    <w:uiPriority w:val="99"/>
    <w:unhideWhenUsed/>
    <w:rsid w:val="008A3E86"/>
    <w:rPr>
      <w:color w:val="0563C1" w:themeColor="hyperlink"/>
      <w:u w:val="single"/>
    </w:rPr>
  </w:style>
  <w:style w:type="paragraph" w:customStyle="1" w:styleId="FooterReference">
    <w:name w:val="Footer Reference"/>
    <w:basedOn w:val="Footer"/>
    <w:link w:val="FooterReferenceChar"/>
    <w:semiHidden/>
    <w:rsid w:val="00F145EC"/>
    <w:pPr>
      <w:spacing w:after="630" w:line="528" w:lineRule="exact"/>
      <w:ind w:firstLine="792"/>
      <w:textAlignment w:val="baseline"/>
    </w:pPr>
    <w:rPr>
      <w:rFonts w:eastAsia="Times New Roman"/>
      <w:sz w:val="16"/>
    </w:rPr>
  </w:style>
  <w:style w:type="character" w:customStyle="1" w:styleId="FooterReferenceChar">
    <w:name w:val="Footer Reference Char"/>
    <w:basedOn w:val="DefaultParagraphFont"/>
    <w:link w:val="FooterReference"/>
    <w:semiHidden/>
    <w:rsid w:val="00F145EC"/>
    <w:rPr>
      <w:rFonts w:eastAsia="Times New Roman"/>
      <w:sz w:val="16"/>
    </w:rPr>
  </w:style>
  <w:style w:type="paragraph" w:customStyle="1" w:styleId="Default">
    <w:name w:val="Default"/>
    <w:rsid w:val="00BE435E"/>
    <w:pPr>
      <w:autoSpaceDE w:val="0"/>
      <w:autoSpaceDN w:val="0"/>
      <w:adjustRightInd w:val="0"/>
    </w:pPr>
    <w:rPr>
      <w:rFonts w:ascii="Palatino Linotype" w:hAnsi="Palatino Linotype" w:cs="Palatino Linotype"/>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fId" Type="http://schemas.openxmlformats.org/wordprocessingml/2006/fontTable" Target="fontTable0.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MarkWilliams@mayerbrown.com" TargetMode="External"/><Relationship Id="rId4" Type="http://schemas.openxmlformats.org/officeDocument/2006/relationships/styles" Target="styles.xml"/><Relationship Id="rId9" Type="http://schemas.openxmlformats.org/officeDocument/2006/relationships/hyperlink" Target="mailto:MarkWilliams@mayerbrown.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 A M E C U R R E N T ! 7 5 2 8 5 8 3 9 0 . 1 < / d o c u m e n t i d >  
     < s e n d e r i d > H F 0 5 5 0 3 4 < / s e n d e r i d >  
     < s e n d e r e m a i l > h f e i n g o l d @ m a y e r b r o w n . c o m < / s e n d e r e m a i l >  
     < l a s t m o d i f i e d > 2 0 2 3 - 0 3 - 2 4 T 0 9 : 5 6 : 0 0 . 0 0 0 0 0 0 0 - 0 4 : 0 0 < / l a s t m o d i f i e d >  
     < d a t a b a s e > A M E C U R R E N T < / 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8A611-9B14-4052-B492-7E8C74AF2121}">
  <ds:schemaRefs>
    <ds:schemaRef ds:uri="http://www.imanage.com/work/xmlschema"/>
  </ds:schemaRefs>
</ds:datastoreItem>
</file>

<file path=customXml/itemProps2.xml><?xml version="1.0" encoding="utf-8"?>
<ds:datastoreItem xmlns:ds="http://schemas.openxmlformats.org/officeDocument/2006/customXml" ds:itemID="{D1F2143B-6A04-45A4-AC7A-8424A5059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1051</Words>
  <Characters>6077</Characters>
  <Application>Microsoft Office Word</Application>
  <DocSecurity>0</DocSecurity>
  <Lines>129</Lines>
  <Paragraphs>65</Paragraphs>
  <ScaleCrop>false</ScaleCrop>
  <HeadingPairs>
    <vt:vector size="2" baseType="variant">
      <vt:variant>
        <vt:lpstr>Title</vt:lpstr>
      </vt:variant>
      <vt:variant>
        <vt:i4>1</vt:i4>
      </vt:variant>
    </vt:vector>
  </HeadingPairs>
  <TitlesOfParts>
    <vt:vector size="1" baseType="lpstr">
      <vt:lpstr>Microsoft Word - 115674-01__108129552v1_EWG GA Solar 4 LLC (002)</vt:lpstr>
    </vt:vector>
  </TitlesOfParts>
  <Company>Mayer Brown</Company>
  <LinksUpToDate>false</LinksUpToDate>
  <CharactersWithSpaces>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- 115674-01__108129552v1_EWG GA Solar 4 LLC (002)</dc:title>
  <cp:lastModifiedBy>Heather Feingold</cp:lastModifiedBy>
  <cp:revision>10</cp:revision>
  <dcterms:created xsi:type="dcterms:W3CDTF">2023-03-23T20:18:00Z</dcterms:created>
  <dcterms:modified xsi:type="dcterms:W3CDTF">2023-03-24T13:56:00Z</dcterms:modified>
</cp:coreProperties>
</file>